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pPr>
    </w:p>
    <w:p>
      <w:pPr>
        <w:spacing w:after="200"/>
        <w:jc w:val="center"/>
      </w:pPr>
      <w:r>
        <w:rPr>
          <w:rFonts w:ascii="Arial" w:cs="Arial" w:eastAsia="Arial" w:hAnsi="Arial"/>
          <w:b/>
          <w:bCs/>
          <w:color w:val="1B2A4A"/>
          <w:sz w:val="52"/>
          <w:szCs w:val="52"/>
        </w:rPr>
        <w:t xml:space="preserve">ATVF ASSESSOR METHODOLOGY</w:t>
      </w:r>
    </w:p>
    <w:p>
      <w:pPr>
        <w:spacing w:after="100"/>
        <w:jc w:val="center"/>
      </w:pPr>
      <w:r>
        <w:rPr>
          <w:rFonts w:ascii="Arial" w:cs="Arial" w:eastAsia="Arial" w:hAnsi="Arial"/>
          <w:b/>
          <w:bCs/>
          <w:color w:val="2E75B6"/>
          <w:sz w:val="44"/>
          <w:szCs w:val="44"/>
        </w:rPr>
        <w:t xml:space="preserve">&amp; SCORING RUBRIC</w:t>
      </w:r>
    </w:p>
    <w:p>
      <w:pPr>
        <w:pBdr>
          <w:bottom w:val="single" w:color="2E75B6" w:sz="6" w:space="1"/>
        </w:pBdr>
        <w:spacing w:after="600"/>
        <w:jc w:val="center"/>
      </w:pPr>
      <w:r>
        <w:rPr>
          <w:rFonts w:ascii="Arial" w:cs="Arial" w:eastAsia="Arial" w:hAnsi="Arial"/>
          <w:color w:val="666666"/>
          <w:sz w:val="28"/>
          <w:szCs w:val="28"/>
        </w:rPr>
        <w:t xml:space="preserve">ATVF Companion Document — Assessment Operations</w:t>
      </w:r>
    </w:p>
    <w:p>
      <w:pPr>
        <w:spacing w:before="400"/>
      </w:pPr>
    </w:p>
    <w:p>
      <w:pPr>
        <w:spacing w:after="100"/>
        <w:jc w:val="center"/>
      </w:pPr>
      <w:r>
        <w:rPr>
          <w:rFonts w:ascii="Arial" w:cs="Arial" w:eastAsia="Arial" w:hAnsi="Arial"/>
          <w:i/>
          <w:iCs/>
          <w:color w:val="666666"/>
          <w:sz w:val="26"/>
          <w:szCs w:val="26"/>
        </w:rPr>
        <w:t xml:space="preserve">Procedures, Evidence Standards, and Scoring Criteria</w:t>
      </w:r>
    </w:p>
    <w:p>
      <w:pPr>
        <w:spacing w:after="100"/>
        <w:jc w:val="center"/>
      </w:pPr>
      <w:r>
        <w:rPr>
          <w:rFonts w:ascii="Arial" w:cs="Arial" w:eastAsia="Arial" w:hAnsi="Arial"/>
          <w:i/>
          <w:iCs/>
          <w:color w:val="666666"/>
          <w:sz w:val="26"/>
          <w:szCs w:val="26"/>
        </w:rPr>
        <w:t xml:space="preserve">for ATVF Type I and Type II Assessments</w:t>
      </w:r>
    </w:p>
    <w:p>
      <w:pPr>
        <w:spacing w:before="2400"/>
      </w:pPr>
    </w:p>
    <w:p>
      <w:pPr>
        <w:spacing w:after="100"/>
        <w:jc w:val="center"/>
      </w:pPr>
      <w:r>
        <w:rPr>
          <w:rFonts w:ascii="Arial" w:cs="Arial" w:eastAsia="Arial" w:hAnsi="Arial"/>
          <w:color w:val="666666"/>
          <w:sz w:val="22"/>
          <w:szCs w:val="22"/>
        </w:rPr>
        <w:t xml:space="preserve">Version 0.1 — February 2026</w:t>
      </w:r>
    </w:p>
    <w:p>
      <w:pPr>
        <w:jc w:val="center"/>
      </w:pPr>
      <w:r>
        <w:rPr>
          <w:rFonts w:ascii="Arial" w:cs="Arial" w:eastAsia="Arial" w:hAnsi="Arial"/>
          <w:b/>
          <w:bCs/>
          <w:color w:val="CC0000"/>
          <w:sz w:val="22"/>
          <w:szCs w:val="22"/>
        </w:rPr>
        <w:t xml:space="preserve">WORKING DRAFT</w:t>
      </w:r>
    </w:p>
    <w:p>
      <w:pPr>
        <w:sectPr>
          <w:pgSz w:w="12240" w:h="15840" w:orient="portrait"/>
          <w:pgMar w:top="1440" w:right="1440" w:bottom="1440" w:left="1440" w:header="708" w:footer="708" w:gutter="0"/>
          <w:pgNumType/>
          <w:docGrid w:linePitch="360"/>
        </w:sectPr>
      </w:pPr>
    </w:p>
    <w:p>
      <w:pPr>
        <w:pStyle w:val="Heading1"/>
      </w:pPr>
      <w: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pPr>
      <w:r>
        <w:t xml:space="preserve">1. Purpose and Scope</w:t>
      </w:r>
    </w:p>
    <w:p>
      <w:pPr>
        <w:spacing w:after="200"/>
      </w:pPr>
      <w:r>
        <w:rPr>
          <w:rFonts w:ascii="Arial" w:cs="Arial" w:eastAsia="Arial" w:hAnsi="Arial"/>
          <w:b w:val="false"/>
          <w:bCs w:val="false"/>
          <w:i w:val="false"/>
          <w:iCs w:val="false"/>
          <w:color w:val="333333"/>
          <w:sz w:val="22"/>
          <w:szCs w:val="22"/>
        </w:rPr>
        <w:t xml:space="preserve">This document defines the operational methodology for conducting ATVF assessments, including the step-by-step assessment procedures, evidence collection standards, finding severity classification, control scoring rubric, and the criteria for issuing an overall attestation opinion.</w:t>
      </w:r>
    </w:p>
    <w:p>
      <w:pPr>
        <w:spacing w:after="200"/>
      </w:pPr>
      <w:r>
        <w:rPr>
          <w:rFonts w:ascii="Arial" w:cs="Arial" w:eastAsia="Arial" w:hAnsi="Arial"/>
          <w:b w:val="false"/>
          <w:bCs w:val="false"/>
          <w:i w:val="false"/>
          <w:iCs w:val="false"/>
          <w:color w:val="333333"/>
          <w:sz w:val="22"/>
          <w:szCs w:val="22"/>
        </w:rPr>
        <w:t xml:space="preserve">It is intended for use by qualified ATVF assessors performing Type I or Type II engagements. The methodology is designed to produce consistent, reproducible assessment results regardless of the individual assessor, similar to how PCAOB standards govern financial audit methodology.</w:t>
      </w:r>
    </w:p>
    <w:p>
      <w:pPr>
        <w:pBdr>
          <w:left w:val="single" w:color="2E75B6" w:sz="12" w:space="8"/>
        </w:pBdr>
        <w:spacing w:before="120" w:after="200"/>
        <w:ind w:left="360"/>
      </w:pPr>
      <w:r>
        <w:rPr>
          <w:rFonts w:ascii="Arial" w:cs="Arial" w:eastAsia="Arial" w:hAnsi="Arial"/>
          <w:i/>
          <w:iCs/>
          <w:color w:val="1B2A4A"/>
          <w:sz w:val="22"/>
          <w:szCs w:val="22"/>
        </w:rPr>
        <w:t xml:space="preserve">Core Principle: An ATVF assessment answers one question — does the vendor’s AI system behave the way the vendor says it does? The assessor’s job is to gather evidence and render a professional judgment, not to evaluate whether the AI system is good, ethical, or effective.</w:t>
      </w:r>
    </w:p>
    <w:p>
      <w:pPr>
        <w:pStyle w:val="Heading2"/>
      </w:pPr>
      <w:r>
        <w:t xml:space="preserve">1.1 Assessment Types Recap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20"/>
        <w:gridCol w:w="2520"/>
        <w:gridCol w:w="2520"/>
      </w:tblGrid>
      <w:tr>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25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Type I</w:t>
            </w:r>
          </w:p>
        </w:tc>
        <w:tc>
          <w:tcPr>
            <w:tcW w:type="dxa" w:w="25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Type II</w:t>
            </w:r>
          </w:p>
        </w:tc>
        <w:tc>
          <w:tcPr>
            <w:tcW w:type="dxa" w:w="25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Continuous</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Focus</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Control design and point-in-time architecture</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Control effectiveness over observation period</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Ongoing real-time monitoring</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Duration</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1–2 weeks (min. 72-hour agent observation)</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90+ day observation period</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Indefinite (subscription)</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Agent</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Vendor self-hosted acceptable</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Assessor-deployed preferred</w:t>
            </w:r>
          </w:p>
        </w:tc>
        <w:tc>
          <w:tcPr>
            <w:tcW w:type="dxa" w:w="25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Assessor-deployed required</w:t>
            </w:r>
          </w:p>
        </w:tc>
      </w:tr>
      <w:tr>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Output</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ATVF Type I Attestation Report</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ATVF Type II Attestation Report</w:t>
            </w:r>
          </w:p>
        </w:tc>
        <w:tc>
          <w:tcPr>
            <w:tcW w:type="dxa" w:w="25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Monthly reports + portal access</w:t>
            </w:r>
          </w:p>
        </w:tc>
      </w:tr>
    </w:tbl>
    <w:p>
      <w:pPr>
        <w:spacing w:after="200"/>
      </w:pPr>
    </w:p>
    <w:p>
      <w:r>
        <w:br w:type="page"/>
      </w:r>
    </w:p>
    <w:p>
      <w:pPr>
        <w:pStyle w:val="Heading1"/>
      </w:pPr>
      <w:r>
        <w:t xml:space="preserve">2. Assessment Phases</w:t>
      </w:r>
    </w:p>
    <w:p>
      <w:pPr>
        <w:spacing w:after="200"/>
      </w:pPr>
      <w:r>
        <w:rPr>
          <w:rFonts w:ascii="Arial" w:cs="Arial" w:eastAsia="Arial" w:hAnsi="Arial"/>
          <w:b w:val="false"/>
          <w:bCs w:val="false"/>
          <w:i w:val="false"/>
          <w:iCs w:val="false"/>
          <w:color w:val="333333"/>
          <w:sz w:val="22"/>
          <w:szCs w:val="22"/>
        </w:rPr>
        <w:t xml:space="preserve">Every ATVF assessment follows a structured five-phase process. The phases are sequential, though some activities within phases may overlap.</w:t>
      </w:r>
    </w:p>
    <w:p>
      <w:pPr>
        <w:pStyle w:val="Heading2"/>
      </w:pPr>
      <w:r>
        <w:t xml:space="preserve">2.1 Phase 1: Engagement Planning</w:t>
      </w:r>
    </w:p>
    <w:p>
      <w:pPr>
        <w:spacing w:after="200"/>
      </w:pPr>
      <w:r>
        <w:rPr>
          <w:rFonts w:ascii="Arial" w:cs="Arial" w:eastAsia="Arial" w:hAnsi="Arial"/>
          <w:b w:val="false"/>
          <w:bCs w:val="false"/>
          <w:i w:val="false"/>
          <w:iCs w:val="false"/>
          <w:color w:val="333333"/>
          <w:sz w:val="22"/>
          <w:szCs w:val="22"/>
        </w:rPr>
        <w:t xml:space="preserve">The assessor and vendor agree on the scope, timeline, and logistics of the assessment. Key activities include:</w:t>
      </w:r>
    </w:p>
    <w:p>
      <w:pPr>
        <w:pStyle w:val="ListParagraph"/>
        <w:numPr>
          <w:ilvl w:val="0"/>
          <w:numId w:val="2"/>
        </w:numPr>
        <w:spacing w:after="100"/>
      </w:pPr>
      <w:r>
        <w:rPr>
          <w:rFonts w:ascii="Arial" w:cs="Arial" w:eastAsia="Arial" w:hAnsi="Arial"/>
          <w:b/>
          <w:bCs/>
          <w:sz w:val="22"/>
          <w:szCs w:val="22"/>
        </w:rPr>
        <w:t xml:space="preserve">Scope Definition: </w:t>
      </w:r>
      <w:r>
        <w:rPr>
          <w:rFonts w:ascii="Arial" w:cs="Arial" w:eastAsia="Arial" w:hAnsi="Arial"/>
          <w:color w:val="333333"/>
          <w:sz w:val="22"/>
          <w:szCs w:val="22"/>
        </w:rPr>
        <w:t xml:space="preserve">Identify which products, services, and environments are in scope. Define the assessment type (Type I or Type II) and the target assurance level.</w:t>
      </w:r>
    </w:p>
    <w:p>
      <w:pPr>
        <w:pStyle w:val="ListParagraph"/>
        <w:numPr>
          <w:ilvl w:val="0"/>
          <w:numId w:val="2"/>
        </w:numPr>
        <w:spacing w:after="100"/>
      </w:pPr>
      <w:r>
        <w:rPr>
          <w:rFonts w:ascii="Arial" w:cs="Arial" w:eastAsia="Arial" w:hAnsi="Arial"/>
          <w:b/>
          <w:bCs/>
          <w:sz w:val="22"/>
          <w:szCs w:val="22"/>
        </w:rPr>
        <w:t xml:space="preserve">AI-BOM Collection: </w:t>
      </w:r>
      <w:r>
        <w:rPr>
          <w:rFonts w:ascii="Arial" w:cs="Arial" w:eastAsia="Arial" w:hAnsi="Arial"/>
          <w:color w:val="333333"/>
          <w:sz w:val="22"/>
          <w:szCs w:val="22"/>
        </w:rPr>
        <w:t xml:space="preserve">Request the vendor’s current AI-BOM for all in-scope products. If no AI-BOM exists, the vendor must produce one before the assessment can proceed. The assessor reviews the AI-BOM for completeness and structural validity per the AI-BOM Schema Specification.</w:t>
      </w:r>
    </w:p>
    <w:p>
      <w:pPr>
        <w:pStyle w:val="ListParagraph"/>
        <w:numPr>
          <w:ilvl w:val="0"/>
          <w:numId w:val="2"/>
        </w:numPr>
        <w:spacing w:after="100"/>
      </w:pPr>
      <w:r>
        <w:rPr>
          <w:rFonts w:ascii="Arial" w:cs="Arial" w:eastAsia="Arial" w:hAnsi="Arial"/>
          <w:b/>
          <w:bCs/>
          <w:sz w:val="22"/>
          <w:szCs w:val="22"/>
        </w:rPr>
        <w:t xml:space="preserve">Agent Deployment Planning: </w:t>
      </w:r>
      <w:r>
        <w:rPr>
          <w:rFonts w:ascii="Arial" w:cs="Arial" w:eastAsia="Arial" w:hAnsi="Arial"/>
          <w:color w:val="333333"/>
          <w:sz w:val="22"/>
          <w:szCs w:val="22"/>
        </w:rPr>
        <w:t xml:space="preserve">Agree on the verification agent deployment model (vendor self-hosted, assessor-deployed, or TEE-based). Identify the target hosts, network paths, and any access requirements.</w:t>
      </w:r>
    </w:p>
    <w:p>
      <w:pPr>
        <w:pStyle w:val="ListParagraph"/>
        <w:numPr>
          <w:ilvl w:val="0"/>
          <w:numId w:val="2"/>
        </w:numPr>
        <w:spacing w:after="100"/>
      </w:pPr>
      <w:r>
        <w:rPr>
          <w:rFonts w:ascii="Arial" w:cs="Arial" w:eastAsia="Arial" w:hAnsi="Arial"/>
          <w:b/>
          <w:bCs/>
          <w:sz w:val="22"/>
          <w:szCs w:val="22"/>
        </w:rPr>
        <w:t xml:space="preserve">Evidence Request List: </w:t>
      </w:r>
      <w:r>
        <w:rPr>
          <w:rFonts w:ascii="Arial" w:cs="Arial" w:eastAsia="Arial" w:hAnsi="Arial"/>
          <w:color w:val="333333"/>
          <w:sz w:val="22"/>
          <w:szCs w:val="22"/>
        </w:rPr>
        <w:t xml:space="preserve">Provide the vendor with a detailed list of documentation, access, and personnel required for the assessment. This includes architecture diagrams, network topology, deployment manifests, change management records, and designated technical contacts.</w:t>
      </w:r>
    </w:p>
    <w:p>
      <w:pPr>
        <w:pStyle w:val="Heading2"/>
      </w:pPr>
      <w:r>
        <w:t xml:space="preserve">2.2 Phase 2: Documentation Review</w:t>
      </w:r>
    </w:p>
    <w:p>
      <w:pPr>
        <w:spacing w:after="200"/>
      </w:pPr>
      <w:r>
        <w:rPr>
          <w:rFonts w:ascii="Arial" w:cs="Arial" w:eastAsia="Arial" w:hAnsi="Arial"/>
          <w:b w:val="false"/>
          <w:bCs w:val="false"/>
          <w:i w:val="false"/>
          <w:iCs w:val="false"/>
          <w:color w:val="333333"/>
          <w:sz w:val="22"/>
          <w:szCs w:val="22"/>
        </w:rPr>
        <w:t xml:space="preserve">Before deploying the verification agent, the assessor conducts a thorough review of the vendor’s documentation:</w:t>
      </w:r>
    </w:p>
    <w:p>
      <w:pPr>
        <w:pStyle w:val="ListParagraph"/>
        <w:numPr>
          <w:ilvl w:val="0"/>
          <w:numId w:val="3"/>
        </w:numPr>
        <w:spacing w:after="100"/>
      </w:pPr>
      <w:r>
        <w:rPr>
          <w:rFonts w:ascii="Arial" w:cs="Arial" w:eastAsia="Arial" w:hAnsi="Arial"/>
          <w:b/>
          <w:bCs/>
          <w:sz w:val="22"/>
          <w:szCs w:val="22"/>
        </w:rPr>
        <w:t xml:space="preserve">AI-BOM Validation: </w:t>
      </w:r>
      <w:r>
        <w:rPr>
          <w:rFonts w:ascii="Arial" w:cs="Arial" w:eastAsia="Arial" w:hAnsi="Arial"/>
          <w:color w:val="333333"/>
          <w:sz w:val="22"/>
          <w:szCs w:val="22"/>
        </w:rPr>
        <w:t xml:space="preserve">Verify the AI-BOM passes structural and semantic validation rules. Check cross-references between models, API dependencies, pipeline stages, and capability claims. Identify any models or dependencies that appear to be missing.</w:t>
      </w:r>
    </w:p>
    <w:p>
      <w:pPr>
        <w:pStyle w:val="ListParagraph"/>
        <w:numPr>
          <w:ilvl w:val="0"/>
          <w:numId w:val="3"/>
        </w:numPr>
        <w:spacing w:after="100"/>
      </w:pPr>
      <w:r>
        <w:rPr>
          <w:rFonts w:ascii="Arial" w:cs="Arial" w:eastAsia="Arial" w:hAnsi="Arial"/>
          <w:b/>
          <w:bCs/>
          <w:sz w:val="22"/>
          <w:szCs w:val="22"/>
        </w:rPr>
        <w:t xml:space="preserve">Architecture Review: </w:t>
      </w:r>
      <w:r>
        <w:rPr>
          <w:rFonts w:ascii="Arial" w:cs="Arial" w:eastAsia="Arial" w:hAnsi="Arial"/>
          <w:color w:val="333333"/>
          <w:sz w:val="22"/>
          <w:szCs w:val="22"/>
        </w:rPr>
        <w:t xml:space="preserve">Review architecture diagrams and technical documentation. Walk through the inference pipeline with the vendor’s engineering team. Identify all external integrations and data flows.</w:t>
      </w:r>
    </w:p>
    <w:p>
      <w:pPr>
        <w:pStyle w:val="ListParagraph"/>
        <w:numPr>
          <w:ilvl w:val="0"/>
          <w:numId w:val="3"/>
        </w:numPr>
        <w:spacing w:after="100"/>
      </w:pPr>
      <w:r>
        <w:rPr>
          <w:rFonts w:ascii="Arial" w:cs="Arial" w:eastAsia="Arial" w:hAnsi="Arial"/>
          <w:b/>
          <w:bCs/>
          <w:sz w:val="22"/>
          <w:szCs w:val="22"/>
        </w:rPr>
        <w:t xml:space="preserve">Claims Analysis: </w:t>
      </w:r>
      <w:r>
        <w:rPr>
          <w:rFonts w:ascii="Arial" w:cs="Arial" w:eastAsia="Arial" w:hAnsi="Arial"/>
          <w:color w:val="333333"/>
          <w:sz w:val="22"/>
          <w:szCs w:val="22"/>
        </w:rPr>
        <w:t xml:space="preserve">Compile all product capability claims from marketing materials, sales decks, proposal responses, and contractual commitments. Map each claim to its supporting technical components as declared in the AI-BOM.</w:t>
      </w:r>
    </w:p>
    <w:p>
      <w:pPr>
        <w:pStyle w:val="ListParagraph"/>
        <w:numPr>
          <w:ilvl w:val="0"/>
          <w:numId w:val="3"/>
        </w:numPr>
        <w:spacing w:after="100"/>
      </w:pPr>
      <w:r>
        <w:rPr>
          <w:rFonts w:ascii="Arial" w:cs="Arial" w:eastAsia="Arial" w:hAnsi="Arial"/>
          <w:b/>
          <w:bCs/>
          <w:sz w:val="22"/>
          <w:szCs w:val="22"/>
        </w:rPr>
        <w:t xml:space="preserve">Change History Review: </w:t>
      </w:r>
      <w:r>
        <w:rPr>
          <w:rFonts w:ascii="Arial" w:cs="Arial" w:eastAsia="Arial" w:hAnsi="Arial"/>
          <w:color w:val="333333"/>
          <w:sz w:val="22"/>
          <w:szCs w:val="22"/>
        </w:rPr>
        <w:t xml:space="preserve">For Type II assessments, review the AI-BOM change history for the observation period. Verify that all material changes were documented and that customer notifications occurred within the required 30-day window.</w:t>
      </w:r>
    </w:p>
    <w:p>
      <w:pPr>
        <w:pStyle w:val="Heading2"/>
      </w:pPr>
      <w:r>
        <w:t xml:space="preserve">2.3 Phase 3: Runtime Verification</w:t>
      </w:r>
    </w:p>
    <w:p>
      <w:pPr>
        <w:spacing w:after="200"/>
      </w:pPr>
      <w:r>
        <w:rPr>
          <w:rFonts w:ascii="Arial" w:cs="Arial" w:eastAsia="Arial" w:hAnsi="Arial"/>
          <w:b w:val="false"/>
          <w:bCs w:val="false"/>
          <w:i w:val="false"/>
          <w:iCs w:val="false"/>
          <w:color w:val="333333"/>
          <w:sz w:val="22"/>
          <w:szCs w:val="22"/>
        </w:rPr>
        <w:t xml:space="preserve">The verification agent is deployed and begins collecting telemetry. This is the core evidence-gathering phase.</w:t>
      </w:r>
    </w:p>
    <w:p>
      <w:pPr>
        <w:pStyle w:val="ListParagraph"/>
        <w:numPr>
          <w:ilvl w:val="0"/>
          <w:numId w:val="4"/>
        </w:numPr>
        <w:spacing w:after="100"/>
      </w:pPr>
      <w:r>
        <w:rPr>
          <w:rFonts w:ascii="Arial" w:cs="Arial" w:eastAsia="Arial" w:hAnsi="Arial"/>
          <w:b/>
          <w:bCs/>
          <w:sz w:val="22"/>
          <w:szCs w:val="22"/>
        </w:rPr>
        <w:t xml:space="preserve">Agent Deployment: </w:t>
      </w:r>
      <w:r>
        <w:rPr>
          <w:rFonts w:ascii="Arial" w:cs="Arial" w:eastAsia="Arial" w:hAnsi="Arial"/>
          <w:color w:val="333333"/>
          <w:sz w:val="22"/>
          <w:szCs w:val="22"/>
        </w:rPr>
        <w:t xml:space="preserve">Deploy the verification agent per the agreed deployment model. Verify agent integrity and confirm it is collecting data from all in-scope hosts and processes.</w:t>
      </w:r>
    </w:p>
    <w:p>
      <w:pPr>
        <w:pStyle w:val="ListParagraph"/>
        <w:numPr>
          <w:ilvl w:val="0"/>
          <w:numId w:val="4"/>
        </w:numPr>
        <w:spacing w:after="100"/>
      </w:pPr>
      <w:r>
        <w:rPr>
          <w:rFonts w:ascii="Arial" w:cs="Arial" w:eastAsia="Arial" w:hAnsi="Arial"/>
          <w:b/>
          <w:bCs/>
          <w:sz w:val="22"/>
          <w:szCs w:val="22"/>
        </w:rPr>
        <w:t xml:space="preserve">Baseline Collection: </w:t>
      </w:r>
      <w:r>
        <w:rPr>
          <w:rFonts w:ascii="Arial" w:cs="Arial" w:eastAsia="Arial" w:hAnsi="Arial"/>
          <w:color w:val="333333"/>
          <w:sz w:val="22"/>
          <w:szCs w:val="22"/>
        </w:rPr>
        <w:t xml:space="preserve">Allow the agent to collect at least 24 hours of baseline data before conducting targeted tests. This establishes normal operating patterns.</w:t>
      </w:r>
    </w:p>
    <w:p>
      <w:pPr>
        <w:pStyle w:val="ListParagraph"/>
        <w:numPr>
          <w:ilvl w:val="0"/>
          <w:numId w:val="4"/>
        </w:numPr>
        <w:spacing w:after="100"/>
      </w:pPr>
      <w:r>
        <w:rPr>
          <w:rFonts w:ascii="Arial" w:cs="Arial" w:eastAsia="Arial" w:hAnsi="Arial"/>
          <w:b/>
          <w:bCs/>
          <w:sz w:val="22"/>
          <w:szCs w:val="22"/>
        </w:rPr>
        <w:t xml:space="preserve">Targeted Testing: </w:t>
      </w:r>
      <w:r>
        <w:rPr>
          <w:rFonts w:ascii="Arial" w:cs="Arial" w:eastAsia="Arial" w:hAnsi="Arial"/>
          <w:color w:val="333333"/>
          <w:sz w:val="22"/>
          <w:szCs w:val="22"/>
        </w:rPr>
        <w:t xml:space="preserve">The assessor submits controlled inference requests through the vendor’s system with known characteristics. These test requests verify that the interaction audit trail captures them correctly, the routing matches the declared pipeline, the compute signature matches expectations for the declared model architecture, and data flow remains within declared compliance boundaries.</w:t>
      </w:r>
    </w:p>
    <w:p>
      <w:pPr>
        <w:pStyle w:val="ListParagraph"/>
        <w:numPr>
          <w:ilvl w:val="0"/>
          <w:numId w:val="4"/>
        </w:numPr>
        <w:spacing w:after="100"/>
      </w:pPr>
      <w:r>
        <w:rPr>
          <w:rFonts w:ascii="Arial" w:cs="Arial" w:eastAsia="Arial" w:hAnsi="Arial"/>
          <w:b/>
          <w:bCs/>
          <w:sz w:val="22"/>
          <w:szCs w:val="22"/>
        </w:rPr>
        <w:t xml:space="preserve">Anomaly Investigation: </w:t>
      </w:r>
      <w:r>
        <w:rPr>
          <w:rFonts w:ascii="Arial" w:cs="Arial" w:eastAsia="Arial" w:hAnsi="Arial"/>
          <w:color w:val="333333"/>
          <w:sz w:val="22"/>
          <w:szCs w:val="22"/>
        </w:rPr>
        <w:t xml:space="preserve">Review any discrepancies between observed behavior and the AI-BOM. Engage with the vendor’s technical team to understand and document each discrepancy before classifying it as a finding.</w:t>
      </w:r>
    </w:p>
    <w:p>
      <w:pPr>
        <w:pStyle w:val="Heading2"/>
      </w:pPr>
      <w:r>
        <w:t xml:space="preserve">2.4 Phase 4: Analysis and Scoring</w:t>
      </w:r>
    </w:p>
    <w:p>
      <w:pPr>
        <w:spacing w:after="200"/>
      </w:pPr>
      <w:r>
        <w:rPr>
          <w:rFonts w:ascii="Arial" w:cs="Arial" w:eastAsia="Arial" w:hAnsi="Arial"/>
          <w:b w:val="false"/>
          <w:bCs w:val="false"/>
          <w:i w:val="false"/>
          <w:iCs w:val="false"/>
          <w:color w:val="333333"/>
          <w:sz w:val="22"/>
          <w:szCs w:val="22"/>
        </w:rPr>
        <w:t xml:space="preserve">The assessor analyzes collected evidence and scores each control:</w:t>
      </w:r>
    </w:p>
    <w:p>
      <w:pPr>
        <w:pStyle w:val="ListParagraph"/>
        <w:numPr>
          <w:ilvl w:val="0"/>
          <w:numId w:val="5"/>
        </w:numPr>
        <w:spacing w:after="100"/>
      </w:pPr>
      <w:r>
        <w:rPr>
          <w:rFonts w:ascii="Arial" w:cs="Arial" w:eastAsia="Arial" w:hAnsi="Arial"/>
          <w:b/>
          <w:bCs/>
          <w:sz w:val="22"/>
          <w:szCs w:val="22"/>
        </w:rPr>
        <w:t xml:space="preserve">Control-by-Control Assessment: </w:t>
      </w:r>
      <w:r>
        <w:rPr>
          <w:rFonts w:ascii="Arial" w:cs="Arial" w:eastAsia="Arial" w:hAnsi="Arial"/>
          <w:color w:val="333333"/>
          <w:sz w:val="22"/>
          <w:szCs w:val="22"/>
        </w:rPr>
        <w:t xml:space="preserve">Evaluate each of the 18 ATVF controls against the evidence gathered. Apply the scoring rubric defined in Section 4 of this document.</w:t>
      </w:r>
    </w:p>
    <w:p>
      <w:pPr>
        <w:pStyle w:val="ListParagraph"/>
        <w:numPr>
          <w:ilvl w:val="0"/>
          <w:numId w:val="5"/>
        </w:numPr>
        <w:spacing w:after="100"/>
      </w:pPr>
      <w:r>
        <w:rPr>
          <w:rFonts w:ascii="Arial" w:cs="Arial" w:eastAsia="Arial" w:hAnsi="Arial"/>
          <w:b/>
          <w:bCs/>
          <w:sz w:val="22"/>
          <w:szCs w:val="22"/>
        </w:rPr>
        <w:t xml:space="preserve">Finding Classification: </w:t>
      </w:r>
      <w:r>
        <w:rPr>
          <w:rFonts w:ascii="Arial" w:cs="Arial" w:eastAsia="Arial" w:hAnsi="Arial"/>
          <w:color w:val="333333"/>
          <w:sz w:val="22"/>
          <w:szCs w:val="22"/>
        </w:rPr>
        <w:t xml:space="preserve">Classify all discrepancies and deficiencies using the severity framework defined in Section 3.</w:t>
      </w:r>
    </w:p>
    <w:p>
      <w:pPr>
        <w:pStyle w:val="ListParagraph"/>
        <w:numPr>
          <w:ilvl w:val="0"/>
          <w:numId w:val="5"/>
        </w:numPr>
        <w:spacing w:after="100"/>
      </w:pPr>
      <w:r>
        <w:rPr>
          <w:rFonts w:ascii="Arial" w:cs="Arial" w:eastAsia="Arial" w:hAnsi="Arial"/>
          <w:b/>
          <w:bCs/>
          <w:sz w:val="22"/>
          <w:szCs w:val="22"/>
        </w:rPr>
        <w:t xml:space="preserve">AI-BOM Correlation: </w:t>
      </w:r>
      <w:r>
        <w:rPr>
          <w:rFonts w:ascii="Arial" w:cs="Arial" w:eastAsia="Arial" w:hAnsi="Arial"/>
          <w:color w:val="333333"/>
          <w:sz w:val="22"/>
          <w:szCs w:val="22"/>
        </w:rPr>
        <w:t xml:space="preserve">Produce the final AI-BOM correlation analysis, comparing every declared component against observed runtime behavior.</w:t>
      </w:r>
    </w:p>
    <w:p>
      <w:pPr>
        <w:pStyle w:val="ListParagraph"/>
        <w:numPr>
          <w:ilvl w:val="0"/>
          <w:numId w:val="5"/>
        </w:numPr>
        <w:spacing w:after="100"/>
      </w:pPr>
      <w:r>
        <w:rPr>
          <w:rFonts w:ascii="Arial" w:cs="Arial" w:eastAsia="Arial" w:hAnsi="Arial"/>
          <w:b/>
          <w:bCs/>
          <w:sz w:val="22"/>
          <w:szCs w:val="22"/>
        </w:rPr>
        <w:t xml:space="preserve">Capability Claims Verification: </w:t>
      </w:r>
      <w:r>
        <w:rPr>
          <w:rFonts w:ascii="Arial" w:cs="Arial" w:eastAsia="Arial" w:hAnsi="Arial"/>
          <w:color w:val="333333"/>
          <w:sz w:val="22"/>
          <w:szCs w:val="22"/>
        </w:rPr>
        <w:t xml:space="preserve">Assess each capability claim’s accuracy based on the technical evidence.</w:t>
      </w:r>
    </w:p>
    <w:p>
      <w:pPr>
        <w:pStyle w:val="Heading2"/>
      </w:pPr>
      <w:r>
        <w:t xml:space="preserve">2.5 Phase 5: Reporting</w:t>
      </w:r>
    </w:p>
    <w:p>
      <w:pPr>
        <w:spacing w:after="200"/>
      </w:pPr>
      <w:r>
        <w:rPr>
          <w:rFonts w:ascii="Arial" w:cs="Arial" w:eastAsia="Arial" w:hAnsi="Arial"/>
          <w:b w:val="false"/>
          <w:bCs w:val="false"/>
          <w:i w:val="false"/>
          <w:iCs w:val="false"/>
          <w:color w:val="333333"/>
          <w:sz w:val="22"/>
          <w:szCs w:val="22"/>
        </w:rPr>
        <w:t xml:space="preserve">The assessor produces the ATVF Attestation Report:</w:t>
      </w:r>
    </w:p>
    <w:p>
      <w:pPr>
        <w:pStyle w:val="ListParagraph"/>
        <w:numPr>
          <w:ilvl w:val="0"/>
          <w:numId w:val="6"/>
        </w:numPr>
        <w:spacing w:after="100"/>
      </w:pPr>
      <w:r>
        <w:rPr>
          <w:rFonts w:ascii="Arial" w:cs="Arial" w:eastAsia="Arial" w:hAnsi="Arial"/>
          <w:b/>
          <w:bCs/>
          <w:sz w:val="22"/>
          <w:szCs w:val="22"/>
        </w:rPr>
        <w:t xml:space="preserve">Draft Report: </w:t>
      </w:r>
      <w:r>
        <w:rPr>
          <w:rFonts w:ascii="Arial" w:cs="Arial" w:eastAsia="Arial" w:hAnsi="Arial"/>
          <w:color w:val="333333"/>
          <w:sz w:val="22"/>
          <w:szCs w:val="22"/>
        </w:rPr>
        <w:t xml:space="preserve">Prepare the draft report including all findings, scores, and the proposed attestation opinion. Share with the vendor for factual accuracy review (the vendor may correct factual errors but cannot alter findings or scores).</w:t>
      </w:r>
    </w:p>
    <w:p>
      <w:pPr>
        <w:pStyle w:val="ListParagraph"/>
        <w:numPr>
          <w:ilvl w:val="0"/>
          <w:numId w:val="6"/>
        </w:numPr>
        <w:spacing w:after="100"/>
      </w:pPr>
      <w:r>
        <w:rPr>
          <w:rFonts w:ascii="Arial" w:cs="Arial" w:eastAsia="Arial" w:hAnsi="Arial"/>
          <w:b/>
          <w:bCs/>
          <w:sz w:val="22"/>
          <w:szCs w:val="22"/>
        </w:rPr>
        <w:t xml:space="preserve">Vendor Response: </w:t>
      </w:r>
      <w:r>
        <w:rPr>
          <w:rFonts w:ascii="Arial" w:cs="Arial" w:eastAsia="Arial" w:hAnsi="Arial"/>
          <w:color w:val="333333"/>
          <w:sz w:val="22"/>
          <w:szCs w:val="22"/>
        </w:rPr>
        <w:t xml:space="preserve">The vendor may provide a written management response to each finding, including remediation plans and timelines. These responses are included in the final report.</w:t>
      </w:r>
    </w:p>
    <w:p>
      <w:pPr>
        <w:pStyle w:val="ListParagraph"/>
        <w:numPr>
          <w:ilvl w:val="0"/>
          <w:numId w:val="6"/>
        </w:numPr>
        <w:spacing w:after="100"/>
      </w:pPr>
      <w:r>
        <w:rPr>
          <w:rFonts w:ascii="Arial" w:cs="Arial" w:eastAsia="Arial" w:hAnsi="Arial"/>
          <w:b/>
          <w:bCs/>
          <w:sz w:val="22"/>
          <w:szCs w:val="22"/>
        </w:rPr>
        <w:t xml:space="preserve">Final Report: </w:t>
      </w:r>
      <w:r>
        <w:rPr>
          <w:rFonts w:ascii="Arial" w:cs="Arial" w:eastAsia="Arial" w:hAnsi="Arial"/>
          <w:color w:val="333333"/>
          <w:sz w:val="22"/>
          <w:szCs w:val="22"/>
        </w:rPr>
        <w:t xml:space="preserve">Issue the final ATVF Attestation Report to the vendor and, if authorized, directly to the vendor’s customers.</w:t>
      </w:r>
    </w:p>
    <w:p>
      <w:r>
        <w:br w:type="page"/>
      </w:r>
    </w:p>
    <w:p>
      <w:pPr>
        <w:pStyle w:val="Heading1"/>
      </w:pPr>
      <w:r>
        <w:t xml:space="preserve">3. Finding Severity Classification</w:t>
      </w:r>
    </w:p>
    <w:p>
      <w:pPr>
        <w:spacing w:after="200"/>
      </w:pPr>
      <w:r>
        <w:rPr>
          <w:rFonts w:ascii="Arial" w:cs="Arial" w:eastAsia="Arial" w:hAnsi="Arial"/>
          <w:b w:val="false"/>
          <w:bCs w:val="false"/>
          <w:i w:val="false"/>
          <w:iCs w:val="false"/>
          <w:color w:val="333333"/>
          <w:sz w:val="22"/>
          <w:szCs w:val="22"/>
        </w:rPr>
        <w:t xml:space="preserve">All assessment findings are classified using a five-level severity scale. The severity level directly impacts the overall attestation opinion.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3980"/>
      </w:tblGrid>
      <w:tr>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Severity</w:t>
            </w:r>
          </w:p>
        </w:tc>
        <w:tc>
          <w:tcPr>
            <w:tcW w:type="dxa" w:w="39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Definition</w:t>
            </w:r>
          </w:p>
        </w:tc>
        <w:tc>
          <w:tcPr>
            <w:tcW w:type="dxa" w:w="39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Examples</w:t>
            </w:r>
          </w:p>
        </w:tc>
      </w:tr>
      <w:tr>
        <w:tc>
          <w:tcPr>
            <w:tcW w:type="dxa" w:w="14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b/>
                <w:bCs/>
                <w:color w:val="CC0000"/>
                <w:sz w:val="20"/>
                <w:szCs w:val="20"/>
              </w:rPr>
              <w:t xml:space="preserve">Critical</w:t>
            </w:r>
          </w:p>
        </w:tc>
        <w:tc>
          <w:tcPr>
            <w:tcW w:type="dxa" w:w="398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b w:val="false"/>
                <w:bCs w:val="false"/>
                <w:color w:val="333333"/>
                <w:sz w:val="20"/>
                <w:szCs w:val="20"/>
              </w:rPr>
              <w:t xml:space="preserve">Material misrepresentation of AI architecture. The vendor’s claims are fundamentally inconsistent with observed behavior.</w:t>
            </w:r>
          </w:p>
        </w:tc>
        <w:tc>
          <w:tcPr>
            <w:tcW w:type="dxa" w:w="398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b w:val="false"/>
                <w:bCs w:val="false"/>
                <w:color w:val="333333"/>
                <w:sz w:val="20"/>
                <w:szCs w:val="20"/>
              </w:rPr>
              <w:t xml:space="preserve">Vendor claims proprietary model but runtime shows 100% of inference routed to third-party API. Data leaves declared compliance boundary during inference.</w:t>
            </w:r>
          </w:p>
        </w:tc>
      </w:tr>
      <w:tr>
        <w:tc>
          <w:tcPr>
            <w:tcW w:type="dxa" w:w="14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bCs/>
                <w:color w:val="CC6600"/>
                <w:sz w:val="20"/>
                <w:szCs w:val="20"/>
              </w:rPr>
              <w:t xml:space="preserve">High</w:t>
            </w:r>
          </w:p>
        </w:tc>
        <w:tc>
          <w:tcPr>
            <w:tcW w:type="dxa" w:w="398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val="false"/>
                <w:bCs w:val="false"/>
                <w:color w:val="333333"/>
                <w:sz w:val="20"/>
                <w:szCs w:val="20"/>
              </w:rPr>
              <w:t xml:space="preserve">Significant discrepancy between declared and observed architecture that affects the customer’s understanding of the product.</w:t>
            </w:r>
          </w:p>
        </w:tc>
        <w:tc>
          <w:tcPr>
            <w:tcW w:type="dxa" w:w="398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val="false"/>
                <w:bCs w:val="false"/>
                <w:color w:val="333333"/>
                <w:sz w:val="20"/>
                <w:szCs w:val="20"/>
              </w:rPr>
              <w:t xml:space="preserve">Undisclosed API dependency found in production. Declared model version differs from observed model. Audit trail has gaps exceeding 24 hours.</w:t>
            </w:r>
          </w:p>
        </w:tc>
      </w:tr>
      <w:tr>
        <w:tc>
          <w:tcPr>
            <w:tcW w:type="dxa" w:w="14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color w:val="7A5800"/>
                <w:sz w:val="20"/>
                <w:szCs w:val="20"/>
              </w:rPr>
              <w:t xml:space="preserve">Medium</w:t>
            </w:r>
          </w:p>
        </w:tc>
        <w:tc>
          <w:tcPr>
            <w:tcW w:type="dxa" w:w="39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val="false"/>
                <w:bCs w:val="false"/>
                <w:color w:val="333333"/>
                <w:sz w:val="20"/>
                <w:szCs w:val="20"/>
              </w:rPr>
              <w:t xml:space="preserve">Discrepancy that does not materially affect architectural claims but indicates control weakness.</w:t>
            </w:r>
          </w:p>
        </w:tc>
        <w:tc>
          <w:tcPr>
            <w:tcW w:type="dxa" w:w="39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val="false"/>
                <w:bCs w:val="false"/>
                <w:color w:val="333333"/>
                <w:sz w:val="20"/>
                <w:szCs w:val="20"/>
              </w:rPr>
              <w:t xml:space="preserve">AI-BOM missing non-critical fields. Change notification delivered at 35 days (outside 30-day window). Minor inconsistency in pipeline stage descriptions.</w:t>
            </w:r>
          </w:p>
        </w:tc>
      </w:tr>
      <w:tr>
        <w:tc>
          <w:tcPr>
            <w:tcW w:type="dxa" w:w="14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color w:val="1B7A3D"/>
                <w:sz w:val="20"/>
                <w:szCs w:val="20"/>
              </w:rPr>
              <w:t xml:space="preserve">Low</w:t>
            </w:r>
          </w:p>
        </w:tc>
        <w:tc>
          <w:tcPr>
            <w:tcW w:type="dxa" w:w="39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color w:val="333333"/>
                <w:sz w:val="20"/>
                <w:szCs w:val="20"/>
              </w:rPr>
              <w:t xml:space="preserve">Minor deficiency that does not affect architectural truthfulness but represents an area for improvement.</w:t>
            </w:r>
          </w:p>
        </w:tc>
        <w:tc>
          <w:tcPr>
            <w:tcW w:type="dxa" w:w="39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color w:val="333333"/>
                <w:sz w:val="20"/>
                <w:szCs w:val="20"/>
              </w:rPr>
              <w:t xml:space="preserve">AI-BOM formatting inconsistencies. Documentation references outdated version numbers. Log retention at 11 months instead of 12.</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Info</w:t>
            </w:r>
          </w:p>
        </w:tc>
        <w:tc>
          <w:tcPr>
            <w:tcW w:type="dxa" w:w="39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Observation or recommendation with no compliance impact.</w:t>
            </w:r>
          </w:p>
        </w:tc>
        <w:tc>
          <w:tcPr>
            <w:tcW w:type="dxa" w:w="39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Suggested improvements to monitoring coverage. Best practice recommendations.</w:t>
            </w:r>
          </w:p>
        </w:tc>
      </w:tr>
    </w:tbl>
    <w:p>
      <w:pPr>
        <w:spacing w:after="200"/>
      </w:pPr>
    </w:p>
    <w:p>
      <w:pPr>
        <w:pBdr>
          <w:left w:val="single" w:color="2E75B6" w:sz="12" w:space="8"/>
        </w:pBdr>
        <w:spacing w:before="120" w:after="200"/>
        <w:ind w:left="360"/>
      </w:pPr>
      <w:r>
        <w:rPr>
          <w:rFonts w:ascii="Arial" w:cs="Arial" w:eastAsia="Arial" w:hAnsi="Arial"/>
          <w:i/>
          <w:iCs/>
          <w:color w:val="1B2A4A"/>
          <w:sz w:val="22"/>
          <w:szCs w:val="22"/>
        </w:rPr>
        <w:t xml:space="preserve">Critical and High findings are the most consequential. Any Critical finding automatically results in a ‘Not Verified’ attestation opinion. High findings result in ‘Verified with Exceptions’ unless remediated during the assessment.</w:t>
      </w:r>
    </w:p>
    <w:p>
      <w:r>
        <w:br w:type="page"/>
      </w:r>
    </w:p>
    <w:p>
      <w:pPr>
        <w:pStyle w:val="Heading1"/>
      </w:pPr>
      <w:r>
        <w:t xml:space="preserve">4. Control Scoring Rubric</w:t>
      </w:r>
    </w:p>
    <w:p>
      <w:pPr>
        <w:spacing w:after="200"/>
      </w:pPr>
      <w:r>
        <w:rPr>
          <w:rFonts w:ascii="Arial" w:cs="Arial" w:eastAsia="Arial" w:hAnsi="Arial"/>
          <w:b w:val="false"/>
          <w:bCs w:val="false"/>
          <w:i w:val="false"/>
          <w:iCs w:val="false"/>
          <w:color w:val="333333"/>
          <w:sz w:val="22"/>
          <w:szCs w:val="22"/>
        </w:rPr>
        <w:t xml:space="preserve">Each of the 18 ATVF controls is scored on a four-point scale. The rubric defines specific criteria for each score level per control family.</w:t>
      </w:r>
    </w:p>
    <w:p>
      <w:pPr>
        <w:pStyle w:val="Heading2"/>
      </w:pPr>
      <w:r>
        <w:t xml:space="preserve">4.1 Scoring Scale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200"/>
        <w:gridCol w:w="6960"/>
      </w:tblGrid>
      <w:tr>
        <w:tc>
          <w:tcPr>
            <w:tcW w:type="dxa" w:w="1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Score</w:t>
            </w:r>
          </w:p>
        </w:tc>
        <w:tc>
          <w:tcPr>
            <w:tcW w:type="dxa" w:w="1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Rating</w:t>
            </w:r>
          </w:p>
        </w:tc>
        <w:tc>
          <w:tcPr>
            <w:tcW w:type="dxa" w:w="69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Criteria</w:t>
            </w:r>
          </w:p>
        </w:tc>
      </w:tr>
      <w:tr>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color w:val="1B7A3D"/>
                <w:sz w:val="20"/>
                <w:szCs w:val="20"/>
              </w:rPr>
              <w:t xml:space="preserve">3</w:t>
            </w:r>
          </w:p>
        </w:tc>
        <w:tc>
          <w:tcPr>
            <w:tcW w:type="dxa" w:w="1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color w:val="333333"/>
                <w:sz w:val="20"/>
                <w:szCs w:val="20"/>
              </w:rPr>
              <w:t xml:space="preserve">Effective</w:t>
            </w:r>
          </w:p>
        </w:tc>
        <w:tc>
          <w:tcPr>
            <w:tcW w:type="dxa" w:w="696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color w:val="333333"/>
                <w:sz w:val="20"/>
                <w:szCs w:val="20"/>
              </w:rPr>
              <w:t xml:space="preserve">Control is fully implemented, operating as intended, and supported by sufficient evidence. No findings of Medium severity or above.</w:t>
            </w:r>
          </w:p>
        </w:tc>
      </w:tr>
      <w:tr>
        <w:tc>
          <w:tcPr>
            <w:tcW w:type="dxa" w:w="1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color w:val="7A5800"/>
                <w:sz w:val="20"/>
                <w:szCs w:val="20"/>
              </w:rPr>
              <w:t xml:space="preserve">2</w:t>
            </w:r>
          </w:p>
        </w:tc>
        <w:tc>
          <w:tcPr>
            <w:tcW w:type="dxa" w:w="1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val="false"/>
                <w:bCs w:val="false"/>
                <w:color w:val="333333"/>
                <w:sz w:val="20"/>
                <w:szCs w:val="20"/>
              </w:rPr>
              <w:t xml:space="preserve">Partial</w:t>
            </w:r>
          </w:p>
        </w:tc>
        <w:tc>
          <w:tcPr>
            <w:tcW w:type="dxa" w:w="696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val="false"/>
                <w:bCs w:val="false"/>
                <w:color w:val="333333"/>
                <w:sz w:val="20"/>
                <w:szCs w:val="20"/>
              </w:rPr>
              <w:t xml:space="preserve">Control is implemented but has gaps or weaknesses. Medium-severity findings exist but no High or Critical findings for this control.</w:t>
            </w:r>
          </w:p>
        </w:tc>
      </w:tr>
      <w:tr>
        <w:tc>
          <w:tcPr>
            <w:tcW w:type="dxa" w:w="12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bCs/>
                <w:color w:val="CC6600"/>
                <w:sz w:val="20"/>
                <w:szCs w:val="20"/>
              </w:rPr>
              <w:t xml:space="preserve">1</w:t>
            </w:r>
          </w:p>
        </w:tc>
        <w:tc>
          <w:tcPr>
            <w:tcW w:type="dxa" w:w="120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val="false"/>
                <w:bCs w:val="false"/>
                <w:color w:val="333333"/>
                <w:sz w:val="20"/>
                <w:szCs w:val="20"/>
              </w:rPr>
              <w:t xml:space="preserve">Deficient</w:t>
            </w:r>
          </w:p>
        </w:tc>
        <w:tc>
          <w:tcPr>
            <w:tcW w:type="dxa" w:w="6960"/>
            <w:tcBorders>
              <w:top w:val="single" w:color="CCCCCC" w:sz="1"/>
              <w:left w:val="single" w:color="CCCCCC" w:sz="1"/>
              <w:bottom w:val="single" w:color="CCCCCC" w:sz="1"/>
              <w:right w:val="single" w:color="CCCCCC" w:sz="1"/>
            </w:tcBorders>
            <w:shd w:fill="FFF3E0" w:val="clear"/>
            <w:tcMar>
              <w:top w:type="dxa" w:w="80"/>
              <w:left w:type="dxa" w:w="120"/>
              <w:bottom w:type="dxa" w:w="80"/>
              <w:right w:type="dxa" w:w="120"/>
            </w:tcMar>
          </w:tcPr>
          <w:p>
            <w:r>
              <w:rPr>
                <w:rFonts w:ascii="Arial" w:cs="Arial" w:eastAsia="Arial" w:hAnsi="Arial"/>
                <w:b w:val="false"/>
                <w:bCs w:val="false"/>
                <w:color w:val="333333"/>
                <w:sz w:val="20"/>
                <w:szCs w:val="20"/>
              </w:rPr>
              <w:t xml:space="preserve">Control is minimally implemented or has significant gaps. One or more High-severity findings exist for this control.</w:t>
            </w:r>
          </w:p>
        </w:tc>
      </w:tr>
      <w:tr>
        <w:tc>
          <w:tcPr>
            <w:tcW w:type="dxa" w:w="12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b/>
                <w:bCs/>
                <w:color w:val="CC0000"/>
                <w:sz w:val="20"/>
                <w:szCs w:val="20"/>
              </w:rPr>
              <w:t xml:space="preserve">0</w:t>
            </w:r>
          </w:p>
        </w:tc>
        <w:tc>
          <w:tcPr>
            <w:tcW w:type="dxa" w:w="12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b w:val="false"/>
                <w:bCs w:val="false"/>
                <w:color w:val="333333"/>
                <w:sz w:val="20"/>
                <w:szCs w:val="20"/>
              </w:rPr>
              <w:t xml:space="preserve">Absent / Failed</w:t>
            </w:r>
          </w:p>
        </w:tc>
        <w:tc>
          <w:tcPr>
            <w:tcW w:type="dxa" w:w="696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b w:val="false"/>
                <w:bCs w:val="false"/>
                <w:color w:val="333333"/>
                <w:sz w:val="20"/>
                <w:szCs w:val="20"/>
              </w:rPr>
              <w:t xml:space="preserve">Control is not implemented, or a Critical finding exists. Evidence shows material misrepresentation or fundamental control failure.</w:t>
            </w:r>
          </w:p>
        </w:tc>
      </w:tr>
    </w:tbl>
    <w:p>
      <w:pPr>
        <w:spacing w:after="200"/>
      </w:pPr>
    </w:p>
    <w:p>
      <w:pPr>
        <w:pStyle w:val="Heading2"/>
      </w:pPr>
      <w:r>
        <w:t xml:space="preserve">4.2 Control Family Scoring Criteria</w:t>
      </w:r>
    </w:p>
    <w:p>
      <w:pPr>
        <w:pStyle w:val="Heading3"/>
      </w:pPr>
      <w:r>
        <w:t xml:space="preserve">4.2.1 ATV-AD: Architecture Disclosure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6560"/>
      </w:tblGrid>
      <w:tr>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Control</w:t>
            </w:r>
          </w:p>
        </w:tc>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Score</w:t>
            </w:r>
          </w:p>
        </w:tc>
        <w:tc>
          <w:tcPr>
            <w:tcW w:type="dxa" w:w="6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Criteria</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ATV-AD-01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AI-BOM is complete, structurally valid, semantically correct, signed, and timestamped. All models and APIs are declared.</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AI-BOM exists and covers major components but has minor omissions (e.g., non-critical metadata fields missing). No undeclared models.</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AI-BOM has significant gaps: undeclared API dependencies discovered, model types misclassified, or pipeline description inaccurate.</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0</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No AI-BOM produced, or AI-BOM contains deliberate misrepresentations discovered during runtime verification.</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ATV-AD-02</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All architecture changes during the period were documented and customers notified within 30 days.</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Changes documented but some notifications were late (31–45 days).</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Material changes detected that were not documented or customers not notified at all.</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0</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Undisclosed material architecture changes discovered (e.g., model substitution without documentation).</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ATV-AD-03</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All capability claims are mapped to components. Assessor verifies claim accuracy and all claims rated ‘accurate.’</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Claims register exists; some claims rated ‘partially-accurate’ but none ‘misleading.’</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Claims register incomplete or one or more claims rated ‘misleading.’</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0</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No claims register, or multiple claims are materially misleading.</w:t>
            </w:r>
          </w:p>
        </w:tc>
      </w:tr>
    </w:tbl>
    <w:p>
      <w:pPr>
        <w:spacing w:after="200"/>
      </w:pPr>
    </w:p>
    <w:p>
      <w:pPr>
        <w:pStyle w:val="Heading3"/>
      </w:pPr>
      <w:r>
        <w:t xml:space="preserve">4.2.2 ATV-IL: Interaction Logging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6560"/>
      </w:tblGrid>
      <w:tr>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Control</w:t>
            </w:r>
          </w:p>
        </w:tc>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Score</w:t>
            </w:r>
          </w:p>
        </w:tc>
        <w:tc>
          <w:tcPr>
            <w:tcW w:type="dxa" w:w="6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Criteria</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ATV-IL-01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Every AI interaction generates a complete audit record with all required fields. Test interactions captured correctly.</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Audit trail exists but some fields are incomplete (e.g., missing performance telemetry on some records).</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Audit trail has significant gaps: interactions missing entirely or routing records absent.</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0</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No interaction audit trail exists.</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ATV-IL-02</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Logs use hash chaining or equivalent. Integrity verified with no breaks or modifications detected.</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Immutability mechanism exists but has minor gaps (e.g., integrity check interval too long).</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Logs are stored but no immutability mechanism. Logs could be modified without detection.</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0</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Evidence of log tampering or logs stored in a mutable system with admin write access.</w:t>
            </w:r>
          </w:p>
        </w:tc>
      </w:tr>
    </w:tbl>
    <w:p>
      <w:pPr>
        <w:spacing w:after="200"/>
      </w:pPr>
    </w:p>
    <w:p>
      <w:pPr>
        <w:pStyle w:val="Heading3"/>
      </w:pPr>
      <w:r>
        <w:t xml:space="preserve">4.2.3 ATV-RV: Runtime Verification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6560"/>
      </w:tblGrid>
      <w:tr>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Control</w:t>
            </w:r>
          </w:p>
        </w:tc>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Score</w:t>
            </w:r>
          </w:p>
        </w:tc>
        <w:tc>
          <w:tcPr>
            <w:tcW w:type="dxa" w:w="656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Criteria</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ATV-RV-01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All network egress monitored. All connections to known API endpoints identified and correlated with AI-BOM.</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0</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Undisclosed connections to foundation model API endpoints detected. Material discrepancy.</w:t>
            </w:r>
          </w:p>
        </w:tc>
      </w:tr>
      <w:tr>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ATV-RV-02</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Compute signatures match declared architecture. Local inference shows appropriate GPU/memory patterns.</w:t>
            </w:r>
          </w:p>
        </w:tc>
      </w:tr>
      <w:tr>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
            </w:r>
          </w:p>
        </w:tc>
        <w:tc>
          <w:tcPr>
            <w:tcW w:type="dxa" w:w="14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0</w:t>
            </w:r>
          </w:p>
        </w:tc>
        <w:tc>
          <w:tcPr>
            <w:tcW w:type="dxa" w:w="65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Vendor claims local inference but compute signature shows zero GPU activity and API-proxy pattern.</w:t>
            </w:r>
          </w:p>
        </w:tc>
      </w:tr>
    </w:tbl>
    <w:p>
      <w:pPr>
        <w:spacing w:after="200"/>
      </w:pPr>
    </w:p>
    <w:p>
      <w:pPr>
        <w:spacing w:after="200"/>
      </w:pPr>
      <w:r>
        <w:rPr>
          <w:rFonts w:ascii="Arial" w:cs="Arial" w:eastAsia="Arial" w:hAnsi="Arial"/>
          <w:b w:val="false"/>
          <w:bCs w:val="false"/>
          <w:i w:val="false"/>
          <w:iCs w:val="false"/>
          <w:color w:val="333333"/>
          <w:sz w:val="22"/>
          <w:szCs w:val="22"/>
        </w:rPr>
        <w:t xml:space="preserve">Note: ATV-RV controls are primarily binary in nature. Network egress either matches the AI-BOM or it doesn’t. Compute signatures either correspond to declared architecture or they don’t. For this reason, ATV-RV controls tend toward scores of 3 (consistent) or 0 (material discrepancy), with scores of 1–2 reserved for ambiguous situations where evidence is inconclusive.</w:t>
      </w:r>
    </w:p>
    <w:p>
      <w:r>
        <w:br w:type="page"/>
      </w:r>
    </w:p>
    <w:p>
      <w:pPr>
        <w:pStyle w:val="Heading1"/>
      </w:pPr>
      <w:r>
        <w:t xml:space="preserve">5. Attestation Opinion</w:t>
      </w:r>
    </w:p>
    <w:p>
      <w:pPr>
        <w:spacing w:after="200"/>
      </w:pPr>
      <w:r>
        <w:rPr>
          <w:rFonts w:ascii="Arial" w:cs="Arial" w:eastAsia="Arial" w:hAnsi="Arial"/>
          <w:b w:val="false"/>
          <w:bCs w:val="false"/>
          <w:i w:val="false"/>
          <w:iCs w:val="false"/>
          <w:color w:val="333333"/>
          <w:sz w:val="22"/>
          <w:szCs w:val="22"/>
        </w:rPr>
        <w:t xml:space="preserve">The assessor issues one of three attestation opinions based on the aggregate control scores and findings.</w:t>
      </w:r>
    </w:p>
    <w:p>
      <w:pPr>
        <w:pStyle w:val="Heading2"/>
      </w:pPr>
      <w:r>
        <w:t xml:space="preserve">5.1 Opinion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580"/>
        <w:gridCol w:w="3580"/>
      </w:tblGrid>
      <w:t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Opinion</w:t>
            </w:r>
          </w:p>
        </w:tc>
        <w:tc>
          <w:tcPr>
            <w:tcW w:type="dxa" w:w="3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Criteria</w:t>
            </w:r>
          </w:p>
        </w:tc>
        <w:tc>
          <w:tcPr>
            <w:tcW w:type="dxa" w:w="35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Customer Impact</w:t>
            </w:r>
          </w:p>
        </w:tc>
      </w:tr>
      <w:tr>
        <w:tc>
          <w:tcPr>
            <w:tcW w:type="dxa" w:w="22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bCs/>
                <w:color w:val="1B7A3D"/>
                <w:sz w:val="20"/>
                <w:szCs w:val="20"/>
              </w:rPr>
              <w:t xml:space="preserve">VERIFIED</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color w:val="333333"/>
                <w:sz w:val="20"/>
                <w:szCs w:val="20"/>
              </w:rPr>
              <w:t xml:space="preserve">No Critical or High findings. All control families average score 2.5 or above. AI-BOM is consistent with observed behavior.</w:t>
            </w:r>
          </w:p>
        </w:tc>
        <w:tc>
          <w:tcPr>
            <w:tcW w:type="dxa" w:w="35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rFonts w:ascii="Arial" w:cs="Arial" w:eastAsia="Arial" w:hAnsi="Arial"/>
                <w:b w:val="false"/>
                <w:bCs w:val="false"/>
                <w:color w:val="333333"/>
                <w:sz w:val="20"/>
                <w:szCs w:val="20"/>
              </w:rPr>
              <w:t xml:space="preserve">Customer can have high confidence that the vendor’s AI architecture matches their claims.</w:t>
            </w:r>
          </w:p>
        </w:tc>
      </w:tr>
      <w:tr>
        <w:tc>
          <w:tcPr>
            <w:tcW w:type="dxa" w:w="220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bCs/>
                <w:color w:val="7A5800"/>
                <w:sz w:val="20"/>
                <w:szCs w:val="20"/>
              </w:rPr>
              <w:t xml:space="preserve">VERIFIED WITH EXCEPTIONS</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val="false"/>
                <w:bCs w:val="false"/>
                <w:color w:val="333333"/>
                <w:sz w:val="20"/>
                <w:szCs w:val="20"/>
              </w:rPr>
              <w:t xml:space="preserve">No Critical findings. One or more High findings exist but do not constitute material misrepresentation. Overall architecture substantially matches claims.</w:t>
            </w:r>
          </w:p>
        </w:tc>
        <w:tc>
          <w:tcPr>
            <w:tcW w:type="dxa" w:w="3580"/>
            <w:tcBorders>
              <w:top w:val="single" w:color="CCCCCC" w:sz="1"/>
              <w:left w:val="single" w:color="CCCCCC" w:sz="1"/>
              <w:bottom w:val="single" w:color="CCCCCC" w:sz="1"/>
              <w:right w:val="single" w:color="CCCCCC" w:sz="1"/>
            </w:tcBorders>
            <w:shd w:fill="FFF8E1" w:val="clear"/>
            <w:tcMar>
              <w:top w:type="dxa" w:w="80"/>
              <w:left w:type="dxa" w:w="120"/>
              <w:bottom w:type="dxa" w:w="80"/>
              <w:right w:type="dxa" w:w="120"/>
            </w:tcMar>
          </w:tcPr>
          <w:p>
            <w:r>
              <w:rPr>
                <w:rFonts w:ascii="Arial" w:cs="Arial" w:eastAsia="Arial" w:hAnsi="Arial"/>
                <w:b w:val="false"/>
                <w:bCs w:val="false"/>
                <w:color w:val="333333"/>
                <w:sz w:val="20"/>
                <w:szCs w:val="20"/>
              </w:rPr>
              <w:t xml:space="preserve">Customer should review exceptions. Architecture is largely as claimed but has noted discrepancies requiring attention.</w:t>
            </w:r>
          </w:p>
        </w:tc>
      </w:tr>
      <w:tr>
        <w:tc>
          <w:tcPr>
            <w:tcW w:type="dxa" w:w="220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b/>
                <w:bCs/>
                <w:color w:val="CC0000"/>
                <w:sz w:val="20"/>
                <w:szCs w:val="20"/>
              </w:rPr>
              <w:t xml:space="preserve">NOT VERIFIED</w:t>
            </w:r>
          </w:p>
        </w:tc>
        <w:tc>
          <w:tcPr>
            <w:tcW w:type="dxa" w:w="358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b w:val="false"/>
                <w:bCs w:val="false"/>
                <w:color w:val="333333"/>
                <w:sz w:val="20"/>
                <w:szCs w:val="20"/>
              </w:rPr>
              <w:t xml:space="preserve">One or more Critical findings exist. Material discrepancy between claimed and observed architecture. OR vendor refused to cooperate with assessment activities.</w:t>
            </w:r>
          </w:p>
        </w:tc>
        <w:tc>
          <w:tcPr>
            <w:tcW w:type="dxa" w:w="3580"/>
            <w:tcBorders>
              <w:top w:val="single" w:color="CCCCCC" w:sz="1"/>
              <w:left w:val="single" w:color="CCCCCC" w:sz="1"/>
              <w:bottom w:val="single" w:color="CCCCCC" w:sz="1"/>
              <w:right w:val="single" w:color="CCCCCC" w:sz="1"/>
            </w:tcBorders>
            <w:shd w:fill="FFEBEE" w:val="clear"/>
            <w:tcMar>
              <w:top w:type="dxa" w:w="80"/>
              <w:left w:type="dxa" w:w="120"/>
              <w:bottom w:type="dxa" w:w="80"/>
              <w:right w:type="dxa" w:w="120"/>
            </w:tcMar>
          </w:tcPr>
          <w:p>
            <w:r>
              <w:rPr>
                <w:rFonts w:ascii="Arial" w:cs="Arial" w:eastAsia="Arial" w:hAnsi="Arial"/>
                <w:b w:val="false"/>
                <w:bCs w:val="false"/>
                <w:color w:val="333333"/>
                <w:sz w:val="20"/>
                <w:szCs w:val="20"/>
              </w:rPr>
              <w:t xml:space="preserve">Customer should exercise extreme caution. The vendor’s AI architecture claims could not be substantiated by evidence.</w:t>
            </w:r>
          </w:p>
        </w:tc>
      </w:tr>
    </w:tbl>
    <w:p>
      <w:pPr>
        <w:spacing w:after="200"/>
      </w:pPr>
    </w:p>
    <w:p>
      <w:pPr>
        <w:pStyle w:val="Heading2"/>
      </w:pPr>
      <w:r>
        <w:t xml:space="preserve">5.2 Automatic Disqualifiers</w:t>
      </w:r>
    </w:p>
    <w:p>
      <w:pPr>
        <w:spacing w:after="200"/>
      </w:pPr>
      <w:r>
        <w:rPr>
          <w:rFonts w:ascii="Arial" w:cs="Arial" w:eastAsia="Arial" w:hAnsi="Arial"/>
          <w:b w:val="false"/>
          <w:bCs w:val="false"/>
          <w:i w:val="false"/>
          <w:iCs w:val="false"/>
          <w:color w:val="333333"/>
          <w:sz w:val="22"/>
          <w:szCs w:val="22"/>
        </w:rPr>
        <w:t xml:space="preserve">Certain findings automatically result in a ‘Not Verified’ opinion regardless of other control scores:</w:t>
      </w:r>
    </w:p>
    <w:p>
      <w:pPr>
        <w:pStyle w:val="ListParagraph"/>
        <w:numPr>
          <w:ilvl w:val="0"/>
          <w:numId w:val="7"/>
        </w:numPr>
        <w:spacing w:after="100"/>
      </w:pPr>
      <w:r>
        <w:rPr>
          <w:rFonts w:ascii="Arial" w:cs="Arial" w:eastAsia="Arial" w:hAnsi="Arial"/>
          <w:color w:val="333333"/>
          <w:sz w:val="22"/>
          <w:szCs w:val="22"/>
        </w:rPr>
        <w:t xml:space="preserve">Undisclosed routing of customer data to third-party AI APIs when the vendor claims local/proprietary inference.</w:t>
      </w:r>
    </w:p>
    <w:p>
      <w:pPr>
        <w:pStyle w:val="ListParagraph"/>
        <w:numPr>
          <w:ilvl w:val="0"/>
          <w:numId w:val="7"/>
        </w:numPr>
        <w:spacing w:after="100"/>
      </w:pPr>
      <w:r>
        <w:rPr>
          <w:rFonts w:ascii="Arial" w:cs="Arial" w:eastAsia="Arial" w:hAnsi="Arial"/>
          <w:color w:val="333333"/>
          <w:sz w:val="22"/>
          <w:szCs w:val="22"/>
        </w:rPr>
        <w:t xml:space="preserve">Customer data leaving a declared compliance boundary (FedRAMP, GCC, etc.) during AI inference.</w:t>
      </w:r>
    </w:p>
    <w:p>
      <w:pPr>
        <w:pStyle w:val="ListParagraph"/>
        <w:numPr>
          <w:ilvl w:val="0"/>
          <w:numId w:val="7"/>
        </w:numPr>
        <w:spacing w:after="100"/>
      </w:pPr>
      <w:r>
        <w:rPr>
          <w:rFonts w:ascii="Arial" w:cs="Arial" w:eastAsia="Arial" w:hAnsi="Arial"/>
          <w:color w:val="333333"/>
          <w:sz w:val="22"/>
          <w:szCs w:val="22"/>
        </w:rPr>
        <w:t xml:space="preserve">Evidence of tampering with the verification agent or audit logs.</w:t>
      </w:r>
    </w:p>
    <w:p>
      <w:pPr>
        <w:pStyle w:val="ListParagraph"/>
        <w:numPr>
          <w:ilvl w:val="0"/>
          <w:numId w:val="7"/>
        </w:numPr>
        <w:spacing w:after="100"/>
      </w:pPr>
      <w:r>
        <w:rPr>
          <w:rFonts w:ascii="Arial" w:cs="Arial" w:eastAsia="Arial" w:hAnsi="Arial"/>
          <w:color w:val="333333"/>
          <w:sz w:val="22"/>
          <w:szCs w:val="22"/>
        </w:rPr>
        <w:t xml:space="preserve">Refusal to deploy the verification agent or provide assessor access.</w:t>
      </w:r>
    </w:p>
    <w:p>
      <w:pPr>
        <w:pStyle w:val="ListParagraph"/>
        <w:numPr>
          <w:ilvl w:val="0"/>
          <w:numId w:val="7"/>
        </w:numPr>
        <w:spacing w:after="100"/>
      </w:pPr>
      <w:r>
        <w:rPr>
          <w:rFonts w:ascii="Arial" w:cs="Arial" w:eastAsia="Arial" w:hAnsi="Arial"/>
          <w:color w:val="333333"/>
          <w:sz w:val="22"/>
          <w:szCs w:val="22"/>
        </w:rPr>
        <w:t xml:space="preserve">Deliberate obstruction of assessment activities.</w:t>
      </w:r>
    </w:p>
    <w:p>
      <w:pPr>
        <w:pStyle w:val="Heading2"/>
      </w:pPr>
      <w:r>
        <w:t xml:space="preserve">5.3 Score Aggregation</w:t>
      </w:r>
    </w:p>
    <w:p>
      <w:pPr>
        <w:spacing w:after="200"/>
      </w:pPr>
      <w:r>
        <w:rPr>
          <w:rFonts w:ascii="Arial" w:cs="Arial" w:eastAsia="Arial" w:hAnsi="Arial"/>
          <w:b w:val="false"/>
          <w:bCs w:val="false"/>
          <w:i w:val="false"/>
          <w:iCs w:val="false"/>
          <w:color w:val="333333"/>
          <w:sz w:val="22"/>
          <w:szCs w:val="22"/>
        </w:rPr>
        <w:t xml:space="preserve">The overall score is computed as follows:</w:t>
      </w:r>
    </w:p>
    <w:p>
      <w:pPr>
        <w:pStyle w:val="ListParagraph"/>
        <w:numPr>
          <w:ilvl w:val="0"/>
          <w:numId w:val="8"/>
        </w:numPr>
        <w:spacing w:after="100"/>
      </w:pPr>
      <w:r>
        <w:rPr>
          <w:rFonts w:ascii="Arial" w:cs="Arial" w:eastAsia="Arial" w:hAnsi="Arial"/>
          <w:color w:val="333333"/>
          <w:sz w:val="22"/>
          <w:szCs w:val="22"/>
        </w:rPr>
        <w:t xml:space="preserve">Each control receives a score of 0–3.</w:t>
      </w:r>
    </w:p>
    <w:p>
      <w:pPr>
        <w:pStyle w:val="ListParagraph"/>
        <w:numPr>
          <w:ilvl w:val="0"/>
          <w:numId w:val="8"/>
        </w:numPr>
        <w:spacing w:after="100"/>
      </w:pPr>
      <w:r>
        <w:rPr>
          <w:rFonts w:ascii="Arial" w:cs="Arial" w:eastAsia="Arial" w:hAnsi="Arial"/>
          <w:color w:val="333333"/>
          <w:sz w:val="22"/>
          <w:szCs w:val="22"/>
        </w:rPr>
        <w:t xml:space="preserve">Control family scores are the average of their constituent controls (e.g., ATV-AD average = mean of AD-01, AD-02, AD-03).</w:t>
      </w:r>
    </w:p>
    <w:p>
      <w:pPr>
        <w:pStyle w:val="ListParagraph"/>
        <w:numPr>
          <w:ilvl w:val="0"/>
          <w:numId w:val="8"/>
        </w:numPr>
        <w:spacing w:after="100"/>
      </w:pPr>
      <w:r>
        <w:rPr>
          <w:rFonts w:ascii="Arial" w:cs="Arial" w:eastAsia="Arial" w:hAnsi="Arial"/>
          <w:color w:val="333333"/>
          <w:sz w:val="22"/>
          <w:szCs w:val="22"/>
        </w:rPr>
        <w:t xml:space="preserve">The overall ATVF score is the weighted average of control family scores.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Control Family</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Weight</w:t>
            </w:r>
          </w:p>
        </w:tc>
        <w:tc>
          <w:tcPr>
            <w:tcW w:type="dxa" w:w="312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Rationale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ATV-AD (Architecture Disclosure)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20%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Foundation but documentation-only</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ATV-IL (Interaction Logging)</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20%</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Evidentiary backbone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ATV-RV (Runtime Verification)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30%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Highest weight — this is the proof</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ATV-DR (Data Residency)</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20%</w:t>
            </w:r>
          </w:p>
        </w:tc>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Critical for regulated environments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ATV-CR (Customer Reporting)</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10%</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Important but outcome-focused</w:t>
            </w:r>
          </w:p>
        </w:tc>
      </w:tr>
    </w:tbl>
    <w:p>
      <w:pPr>
        <w:spacing w:after="200"/>
      </w:pPr>
    </w:p>
    <w:p>
      <w:pPr>
        <w:spacing w:after="200"/>
      </w:pPr>
      <w:r>
        <w:rPr>
          <w:rFonts w:ascii="Arial" w:cs="Arial" w:eastAsia="Arial" w:hAnsi="Arial"/>
          <w:b w:val="false"/>
          <w:bCs w:val="false"/>
          <w:i w:val="false"/>
          <w:iCs w:val="false"/>
          <w:color w:val="333333"/>
          <w:sz w:val="22"/>
          <w:szCs w:val="22"/>
        </w:rPr>
        <w:t xml:space="preserve">The weighted average produces a score between 0.0 and 3.0. This score informs but does not solely determine the opinion — the presence of Critical or High findings overrides the numerical score per the criteria in Section 5.1.</w:t>
      </w:r>
    </w:p>
    <w:p>
      <w:r>
        <w:br w:type="page"/>
      </w:r>
    </w:p>
    <w:p>
      <w:pPr>
        <w:pStyle w:val="Heading1"/>
      </w:pPr>
      <w:r>
        <w:t xml:space="preserve">6. Evidence Standards</w:t>
      </w:r>
    </w:p>
    <w:p>
      <w:pPr>
        <w:spacing w:after="200"/>
      </w:pPr>
      <w:r>
        <w:rPr>
          <w:rFonts w:ascii="Arial" w:cs="Arial" w:eastAsia="Arial" w:hAnsi="Arial"/>
          <w:b w:val="false"/>
          <w:bCs w:val="false"/>
          <w:i w:val="false"/>
          <w:iCs w:val="false"/>
          <w:color w:val="333333"/>
          <w:sz w:val="22"/>
          <w:szCs w:val="22"/>
        </w:rPr>
        <w:t xml:space="preserve">All evidence collected during an ATVF assessment must meet the following standards to be admissible in the attestation report.</w:t>
      </w:r>
    </w:p>
    <w:p>
      <w:pPr>
        <w:pStyle w:val="Heading2"/>
      </w:pPr>
      <w:r>
        <w:t xml:space="preserve">6.1 Evidence Categories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800"/>
        <w:gridCol w:w="2280"/>
        <w:gridCol w:w="2280"/>
      </w:tblGrid>
      <w:tr>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c>
          <w:tcPr>
            <w:tcW w:type="dxa" w:w="22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Integrity Req.</w:t>
            </w:r>
          </w:p>
        </w:tc>
        <w:tc>
          <w:tcPr>
            <w:tcW w:type="dxa" w:w="228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r>
              <w:rPr>
                <w:rFonts w:ascii="Arial" w:cs="Arial" w:eastAsia="Arial" w:hAnsi="Arial"/>
                <w:b/>
                <w:bCs/>
                <w:color w:val="FFFFFF"/>
                <w:sz w:val="20"/>
                <w:szCs w:val="20"/>
              </w:rPr>
              <w:t xml:space="preserve">Retention</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Agent Telemetry</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Verification agent output: network, compute, process data</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Hash-chained, signed</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Duration of assessment + 12 months</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Interaction Logs</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Vendor’s audit trail records</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Vendor immutability controls verified</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12 months minimum</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Documentation</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AI-BOM, architecture docs, change records</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Version-controlled, signed preferred</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Duration of assessment + 12 months</w:t>
            </w:r>
          </w:p>
        </w:tc>
      </w:tr>
      <w:tr>
        <w:tc>
          <w:tcPr>
            <w:tcW w:type="dxa" w:w="2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333333"/>
                <w:sz w:val="20"/>
                <w:szCs w:val="20"/>
              </w:rPr>
              <w:t xml:space="preserve">Test Results</w:t>
            </w:r>
          </w:p>
        </w:tc>
        <w:tc>
          <w:tcPr>
            <w:tcW w:type="dxa" w:w="2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Controlled inference test records</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Assessor-documented</w:t>
            </w:r>
          </w:p>
        </w:tc>
        <w:tc>
          <w:tcPr>
            <w:tcW w:type="dxa" w:w="228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val="false"/>
                <w:bCs w:val="false"/>
                <w:color w:val="333333"/>
                <w:sz w:val="20"/>
                <w:szCs w:val="20"/>
              </w:rPr>
              <w:t xml:space="preserve">Duration of assessment + 12 months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333333"/>
                <w:sz w:val="20"/>
                <w:szCs w:val="20"/>
              </w:rPr>
              <w:t xml:space="preserve">Interviews</w:t>
            </w:r>
          </w:p>
        </w:tc>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Technical walkthroughs with vendor staff</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Assessor notes, approved by interviewee</w:t>
            </w:r>
          </w:p>
        </w:tc>
        <w:tc>
          <w:tcPr>
            <w:tcW w:type="dxa" w:w="22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333333"/>
                <w:sz w:val="20"/>
                <w:szCs w:val="20"/>
              </w:rPr>
              <w:t xml:space="preserve">Duration of assessment + 12 months</w:t>
            </w:r>
          </w:p>
        </w:tc>
      </w:tr>
    </w:tbl>
    <w:p>
      <w:pPr>
        <w:spacing w:after="200"/>
      </w:pPr>
    </w:p>
    <w:p>
      <w:pPr>
        <w:pStyle w:val="Heading2"/>
      </w:pPr>
      <w:r>
        <w:t xml:space="preserve">6.2 Evidence Sufficiency</w:t>
      </w:r>
    </w:p>
    <w:p>
      <w:pPr>
        <w:spacing w:after="200"/>
      </w:pPr>
      <w:r>
        <w:rPr>
          <w:rFonts w:ascii="Arial" w:cs="Arial" w:eastAsia="Arial" w:hAnsi="Arial"/>
          <w:b w:val="false"/>
          <w:bCs w:val="false"/>
          <w:i w:val="false"/>
          <w:iCs w:val="false"/>
          <w:color w:val="333333"/>
          <w:sz w:val="22"/>
          <w:szCs w:val="22"/>
        </w:rPr>
        <w:t xml:space="preserve">For each control, the assessor must document the evidence relied upon and confirm that the evidence is sufficient to support the assigned score. The sufficiency standard varies by assessment type:</w:t>
      </w:r>
    </w:p>
    <w:p>
      <w:pPr>
        <w:pStyle w:val="ListParagraph"/>
        <w:numPr>
          <w:ilvl w:val="0"/>
          <w:numId w:val="9"/>
        </w:numPr>
        <w:spacing w:after="100"/>
      </w:pPr>
      <w:r>
        <w:rPr>
          <w:rFonts w:ascii="Arial" w:cs="Arial" w:eastAsia="Arial" w:hAnsi="Arial"/>
          <w:b/>
          <w:bCs/>
          <w:sz w:val="22"/>
          <w:szCs w:val="22"/>
        </w:rPr>
        <w:t xml:space="preserve">Type I: </w:t>
      </w:r>
      <w:r>
        <w:rPr>
          <w:rFonts w:ascii="Arial" w:cs="Arial" w:eastAsia="Arial" w:hAnsi="Arial"/>
          <w:color w:val="333333"/>
          <w:sz w:val="22"/>
          <w:szCs w:val="22"/>
        </w:rPr>
        <w:t xml:space="preserve">Evidence of control design and point-in-time operating status. Documentation and short-duration agent telemetry are sufficient.</w:t>
      </w:r>
    </w:p>
    <w:p>
      <w:pPr>
        <w:pStyle w:val="ListParagraph"/>
        <w:numPr>
          <w:ilvl w:val="0"/>
          <w:numId w:val="9"/>
        </w:numPr>
        <w:spacing w:after="100"/>
      </w:pPr>
      <w:r>
        <w:rPr>
          <w:rFonts w:ascii="Arial" w:cs="Arial" w:eastAsia="Arial" w:hAnsi="Arial"/>
          <w:b/>
          <w:bCs/>
          <w:sz w:val="22"/>
          <w:szCs w:val="22"/>
        </w:rPr>
        <w:t xml:space="preserve">Type II: </w:t>
      </w:r>
      <w:r>
        <w:rPr>
          <w:rFonts w:ascii="Arial" w:cs="Arial" w:eastAsia="Arial" w:hAnsi="Arial"/>
          <w:color w:val="333333"/>
          <w:sz w:val="22"/>
          <w:szCs w:val="22"/>
        </w:rPr>
        <w:t xml:space="preserve">Evidence of control operating effectiveness over the observation period. Requires continuous agent telemetry covering the full observation period, with no gaps exceeding 24 hours.</w:t>
      </w:r>
    </w:p>
    <w:p>
      <w:pPr>
        <w:pStyle w:val="Heading2"/>
      </w:pPr>
      <w:r>
        <w:t xml:space="preserve">6.3 Evidence Conflicts</w:t>
      </w:r>
    </w:p>
    <w:p>
      <w:pPr>
        <w:spacing w:after="200"/>
      </w:pPr>
      <w:r>
        <w:rPr>
          <w:rFonts w:ascii="Arial" w:cs="Arial" w:eastAsia="Arial" w:hAnsi="Arial"/>
          <w:b w:val="false"/>
          <w:bCs w:val="false"/>
          <w:i w:val="false"/>
          <w:iCs w:val="false"/>
          <w:color w:val="333333"/>
          <w:sz w:val="22"/>
          <w:szCs w:val="22"/>
        </w:rPr>
        <w:t xml:space="preserve">When evidence sources conflict (e.g., the AI-BOM says local inference but agent telemetry shows API calls), the assessor shall prioritize agent telemetry over documentation (observed behavior outweighs declared architecture), direct observation over vendor testimony, automated evidence over manual evidence, and assessor-generated evidence over vendor-provided evidence. Conflicts between evidence sources are themselves findings and shall be documented in the attestation report.</w:t>
      </w:r>
    </w:p>
    <w:p>
      <w:r>
        <w:br w:type="page"/>
      </w:r>
    </w:p>
    <w:p>
      <w:pPr>
        <w:pStyle w:val="Heading1"/>
      </w:pPr>
      <w:r>
        <w:t xml:space="preserve">7. Assessor Qualifications and Ethics</w:t>
      </w:r>
    </w:p>
    <w:p>
      <w:pPr>
        <w:pStyle w:val="Heading2"/>
      </w:pPr>
      <w:r>
        <w:t xml:space="preserve">7.1 Required Competencies</w:t>
      </w:r>
    </w:p>
    <w:p>
      <w:pPr>
        <w:spacing w:after="200"/>
      </w:pPr>
      <w:r>
        <w:rPr>
          <w:rFonts w:ascii="Arial" w:cs="Arial" w:eastAsia="Arial" w:hAnsi="Arial"/>
          <w:b w:val="false"/>
          <w:bCs w:val="false"/>
          <w:i w:val="false"/>
          <w:iCs w:val="false"/>
          <w:color w:val="333333"/>
          <w:sz w:val="22"/>
          <w:szCs w:val="22"/>
        </w:rPr>
        <w:t xml:space="preserve">ATVF assessors must demonstrate competency across both AI systems and audit methodology. Minimum qualifications include:</w:t>
      </w:r>
    </w:p>
    <w:p>
      <w:pPr>
        <w:pStyle w:val="ListParagraph"/>
        <w:numPr>
          <w:ilvl w:val="0"/>
          <w:numId w:val="10"/>
        </w:numPr>
        <w:spacing w:after="100"/>
      </w:pPr>
      <w:r>
        <w:rPr>
          <w:rFonts w:ascii="Arial" w:cs="Arial" w:eastAsia="Arial" w:hAnsi="Arial"/>
          <w:b/>
          <w:bCs/>
          <w:sz w:val="22"/>
          <w:szCs w:val="22"/>
        </w:rPr>
        <w:t xml:space="preserve">Technical: </w:t>
      </w:r>
      <w:r>
        <w:rPr>
          <w:rFonts w:ascii="Arial" w:cs="Arial" w:eastAsia="Arial" w:hAnsi="Arial"/>
          <w:color w:val="333333"/>
          <w:sz w:val="22"/>
          <w:szCs w:val="22"/>
        </w:rPr>
        <w:t xml:space="preserve">Demonstrated experience with AI/ML inference infrastructure, Linux kernel internals and eBPF, network traffic analysis, and cloud infrastructure (AWS, Azure, GCP). Assessors should be able to interpret GPU utilization metrics, network packet captures, and system call traces.</w:t>
      </w:r>
    </w:p>
    <w:p>
      <w:pPr>
        <w:pStyle w:val="ListParagraph"/>
        <w:numPr>
          <w:ilvl w:val="0"/>
          <w:numId w:val="10"/>
        </w:numPr>
        <w:spacing w:after="100"/>
      </w:pPr>
      <w:r>
        <w:rPr>
          <w:rFonts w:ascii="Arial" w:cs="Arial" w:eastAsia="Arial" w:hAnsi="Arial"/>
          <w:b/>
          <w:bCs/>
          <w:sz w:val="22"/>
          <w:szCs w:val="22"/>
        </w:rPr>
        <w:t xml:space="preserve">Compliance: </w:t>
      </w:r>
      <w:r>
        <w:rPr>
          <w:rFonts w:ascii="Arial" w:cs="Arial" w:eastAsia="Arial" w:hAnsi="Arial"/>
          <w:color w:val="333333"/>
          <w:sz w:val="22"/>
          <w:szCs w:val="22"/>
        </w:rPr>
        <w:t xml:space="preserve">Working knowledge of NIST AI RMF, NIST SP 800-53, SOC 2 audit methodology, and at least one of CMMC, FedRAMP, or ISO 27001/42001. Experience conducting compliance assessments is strongly preferred.</w:t>
      </w:r>
    </w:p>
    <w:p>
      <w:pPr>
        <w:pStyle w:val="ListParagraph"/>
        <w:numPr>
          <w:ilvl w:val="0"/>
          <w:numId w:val="10"/>
        </w:numPr>
        <w:spacing w:after="100"/>
      </w:pPr>
      <w:r>
        <w:rPr>
          <w:rFonts w:ascii="Arial" w:cs="Arial" w:eastAsia="Arial" w:hAnsi="Arial"/>
          <w:b/>
          <w:bCs/>
          <w:sz w:val="22"/>
          <w:szCs w:val="22"/>
        </w:rPr>
        <w:t xml:space="preserve">Professional: </w:t>
      </w:r>
      <w:r>
        <w:rPr>
          <w:rFonts w:ascii="Arial" w:cs="Arial" w:eastAsia="Arial" w:hAnsi="Arial"/>
          <w:color w:val="333333"/>
          <w:sz w:val="22"/>
          <w:szCs w:val="22"/>
        </w:rPr>
        <w:t xml:space="preserve">Minimum of 5 years of experience in information security, AI engineering, or compliance assessment. Active professional certifications in security or audit disciplines (e.g., CISSP, CISA, OSCP, or equivalent) are valued but not required for the initial program.</w:t>
      </w:r>
    </w:p>
    <w:p>
      <w:pPr>
        <w:pStyle w:val="Heading2"/>
      </w:pPr>
      <w:r>
        <w:t xml:space="preserve">7.2 Independence Requirements</w:t>
      </w:r>
    </w:p>
    <w:p>
      <w:pPr>
        <w:spacing w:after="200"/>
      </w:pPr>
      <w:r>
        <w:rPr>
          <w:rFonts w:ascii="Arial" w:cs="Arial" w:eastAsia="Arial" w:hAnsi="Arial"/>
          <w:b w:val="false"/>
          <w:bCs w:val="false"/>
          <w:i w:val="false"/>
          <w:iCs w:val="false"/>
          <w:color w:val="333333"/>
          <w:sz w:val="22"/>
          <w:szCs w:val="22"/>
        </w:rPr>
        <w:t xml:space="preserve">The assessor must be independent of the vendor being assessed. Specifically, the assessor (and the assessor’s firm) shall have no financial interest in the vendor beyond the assessment engagement fees, shall not have provided consulting services to the vendor on the systems being assessed within the prior 12 months, shall not employ individuals who were employed by the vendor within the prior 12 months, and shall disclose any potential conflicts of interest to the customer prior to the engagement.</w:t>
      </w:r>
    </w:p>
    <w:p>
      <w:pPr>
        <w:pStyle w:val="Heading2"/>
      </w:pPr>
      <w:r>
        <w:t xml:space="preserve">7.3 Ethical Obligations</w:t>
      </w:r>
    </w:p>
    <w:p>
      <w:pPr>
        <w:spacing w:after="200"/>
      </w:pPr>
      <w:r>
        <w:rPr>
          <w:rFonts w:ascii="Arial" w:cs="Arial" w:eastAsia="Arial" w:hAnsi="Arial"/>
          <w:b w:val="false"/>
          <w:bCs w:val="false"/>
          <w:i w:val="false"/>
          <w:iCs w:val="false"/>
          <w:color w:val="333333"/>
          <w:sz w:val="22"/>
          <w:szCs w:val="22"/>
        </w:rPr>
        <w:t xml:space="preserve">ATVF assessors are bound by the following ethical principles: objectivity in evaluating evidence and rendering opinions, confidentiality regarding vendor proprietary information encountered during assessment, integrity in reporting findings accurately even when they may have negative consequences for the vendor, and professional skepticism in approaching vendor claims with appropriate skepticism while remaining fair and evidence-based.</w:t>
      </w:r>
    </w:p>
    <w:p>
      <w:r>
        <w:br w:type="page"/>
      </w:r>
    </w:p>
    <w:p>
      <w:pPr>
        <w:pStyle w:val="Heading1"/>
      </w:pPr>
      <w:r>
        <w:t xml:space="preserve">8. Report Template Structure</w:t>
      </w:r>
    </w:p>
    <w:p>
      <w:pPr>
        <w:spacing w:after="200"/>
      </w:pPr>
      <w:r>
        <w:rPr>
          <w:rFonts w:ascii="Arial" w:cs="Arial" w:eastAsia="Arial" w:hAnsi="Arial"/>
          <w:b w:val="false"/>
          <w:bCs w:val="false"/>
          <w:i w:val="false"/>
          <w:iCs w:val="false"/>
          <w:color w:val="333333"/>
          <w:sz w:val="22"/>
          <w:szCs w:val="22"/>
        </w:rPr>
        <w:t xml:space="preserve">The ATVF Attestation Report follows a standardized structure to ensure consistency across assessors and engagements.</w:t>
      </w:r>
    </w:p>
    <w:p>
      <w:pPr>
        <w:pStyle w:val="Heading2"/>
      </w:pPr>
      <w:r>
        <w:t xml:space="preserve">8.1 Report Sections</w:t>
      </w:r>
    </w:p>
    <w:p>
      <w:pPr>
        <w:pStyle w:val="ListParagraph"/>
        <w:numPr>
          <w:ilvl w:val="0"/>
          <w:numId w:val="11"/>
        </w:numPr>
        <w:spacing w:after="100"/>
      </w:pPr>
      <w:r>
        <w:rPr>
          <w:rFonts w:ascii="Arial" w:cs="Arial" w:eastAsia="Arial" w:hAnsi="Arial"/>
          <w:b/>
          <w:bCs/>
          <w:sz w:val="22"/>
          <w:szCs w:val="22"/>
        </w:rPr>
        <w:t xml:space="preserve">Section 1: Executive Summary: </w:t>
      </w:r>
      <w:r>
        <w:rPr>
          <w:rFonts w:ascii="Arial" w:cs="Arial" w:eastAsia="Arial" w:hAnsi="Arial"/>
          <w:color w:val="333333"/>
          <w:sz w:val="22"/>
          <w:szCs w:val="22"/>
        </w:rPr>
        <w:t xml:space="preserve">Assessment type, scope, opinion, and key findings. Written for executive and procurement audiences.</w:t>
      </w:r>
    </w:p>
    <w:p>
      <w:pPr>
        <w:pStyle w:val="ListParagraph"/>
        <w:numPr>
          <w:ilvl w:val="0"/>
          <w:numId w:val="11"/>
        </w:numPr>
        <w:spacing w:after="100"/>
      </w:pPr>
      <w:r>
        <w:rPr>
          <w:rFonts w:ascii="Arial" w:cs="Arial" w:eastAsia="Arial" w:hAnsi="Arial"/>
          <w:b/>
          <w:bCs/>
          <w:sz w:val="22"/>
          <w:szCs w:val="22"/>
        </w:rPr>
        <w:t xml:space="preserve">Section 2: Assessment Scope and Methodology: </w:t>
      </w:r>
      <w:r>
        <w:rPr>
          <w:rFonts w:ascii="Arial" w:cs="Arial" w:eastAsia="Arial" w:hAnsi="Arial"/>
          <w:color w:val="333333"/>
          <w:sz w:val="22"/>
          <w:szCs w:val="22"/>
        </w:rPr>
        <w:t xml:space="preserve">Products assessed, assessment period, agent deployment model, and assessor information.</w:t>
      </w:r>
    </w:p>
    <w:p>
      <w:pPr>
        <w:pStyle w:val="ListParagraph"/>
        <w:numPr>
          <w:ilvl w:val="0"/>
          <w:numId w:val="11"/>
        </w:numPr>
        <w:spacing w:after="100"/>
      </w:pPr>
      <w:r>
        <w:rPr>
          <w:rFonts w:ascii="Arial" w:cs="Arial" w:eastAsia="Arial" w:hAnsi="Arial"/>
          <w:b/>
          <w:bCs/>
          <w:sz w:val="22"/>
          <w:szCs w:val="22"/>
        </w:rPr>
        <w:t xml:space="preserve">Section 3: Vendor Architecture Overview: </w:t>
      </w:r>
      <w:r>
        <w:rPr>
          <w:rFonts w:ascii="Arial" w:cs="Arial" w:eastAsia="Arial" w:hAnsi="Arial"/>
          <w:color w:val="333333"/>
          <w:sz w:val="22"/>
          <w:szCs w:val="22"/>
        </w:rPr>
        <w:t xml:space="preserve">Summary of the vendor’s AI architecture as verified by the assessor. Includes the validated AI-BOM (or a summary thereof).</w:t>
      </w:r>
    </w:p>
    <w:p>
      <w:pPr>
        <w:pStyle w:val="ListParagraph"/>
        <w:numPr>
          <w:ilvl w:val="0"/>
          <w:numId w:val="11"/>
        </w:numPr>
        <w:spacing w:after="100"/>
      </w:pPr>
      <w:r>
        <w:rPr>
          <w:rFonts w:ascii="Arial" w:cs="Arial" w:eastAsia="Arial" w:hAnsi="Arial"/>
          <w:b/>
          <w:bCs/>
          <w:sz w:val="22"/>
          <w:szCs w:val="22"/>
        </w:rPr>
        <w:t xml:space="preserve">Section 4: Control Assessment Results: </w:t>
      </w:r>
      <w:r>
        <w:rPr>
          <w:rFonts w:ascii="Arial" w:cs="Arial" w:eastAsia="Arial" w:hAnsi="Arial"/>
          <w:color w:val="333333"/>
          <w:sz w:val="22"/>
          <w:szCs w:val="22"/>
        </w:rPr>
        <w:t xml:space="preserve">Control-by-control scoring with evidence summaries. Organized by control family.</w:t>
      </w:r>
    </w:p>
    <w:p>
      <w:pPr>
        <w:pStyle w:val="ListParagraph"/>
        <w:numPr>
          <w:ilvl w:val="0"/>
          <w:numId w:val="11"/>
        </w:numPr>
        <w:spacing w:after="100"/>
      </w:pPr>
      <w:r>
        <w:rPr>
          <w:rFonts w:ascii="Arial" w:cs="Arial" w:eastAsia="Arial" w:hAnsi="Arial"/>
          <w:b/>
          <w:bCs/>
          <w:sz w:val="22"/>
          <w:szCs w:val="22"/>
        </w:rPr>
        <w:t xml:space="preserve">Section 5: Findings Register: </w:t>
      </w:r>
      <w:r>
        <w:rPr>
          <w:rFonts w:ascii="Arial" w:cs="Arial" w:eastAsia="Arial" w:hAnsi="Arial"/>
          <w:color w:val="333333"/>
          <w:sz w:val="22"/>
          <w:szCs w:val="22"/>
        </w:rPr>
        <w:t xml:space="preserve">Complete list of findings with severity, description, evidence references, and remediation recommendations.</w:t>
      </w:r>
    </w:p>
    <w:p>
      <w:pPr>
        <w:pStyle w:val="ListParagraph"/>
        <w:numPr>
          <w:ilvl w:val="0"/>
          <w:numId w:val="11"/>
        </w:numPr>
        <w:spacing w:after="100"/>
      </w:pPr>
      <w:r>
        <w:rPr>
          <w:rFonts w:ascii="Arial" w:cs="Arial" w:eastAsia="Arial" w:hAnsi="Arial"/>
          <w:b/>
          <w:bCs/>
          <w:sz w:val="22"/>
          <w:szCs w:val="22"/>
        </w:rPr>
        <w:t xml:space="preserve">Section 6: AI-BOM Correlation Analysis: </w:t>
      </w:r>
      <w:r>
        <w:rPr>
          <w:rFonts w:ascii="Arial" w:cs="Arial" w:eastAsia="Arial" w:hAnsi="Arial"/>
          <w:color w:val="333333"/>
          <w:sz w:val="22"/>
          <w:szCs w:val="22"/>
        </w:rPr>
        <w:t xml:space="preserve">Detailed comparison of declared AI-BOM versus observed runtime behavior. The core verification evidence.</w:t>
      </w:r>
    </w:p>
    <w:p>
      <w:pPr>
        <w:pStyle w:val="ListParagraph"/>
        <w:numPr>
          <w:ilvl w:val="0"/>
          <w:numId w:val="11"/>
        </w:numPr>
        <w:spacing w:after="100"/>
      </w:pPr>
      <w:r>
        <w:rPr>
          <w:rFonts w:ascii="Arial" w:cs="Arial" w:eastAsia="Arial" w:hAnsi="Arial"/>
          <w:b/>
          <w:bCs/>
          <w:sz w:val="22"/>
          <w:szCs w:val="22"/>
        </w:rPr>
        <w:t xml:space="preserve">Section 7: Data Flow Verification: </w:t>
      </w:r>
      <w:r>
        <w:rPr>
          <w:rFonts w:ascii="Arial" w:cs="Arial" w:eastAsia="Arial" w:hAnsi="Arial"/>
          <w:color w:val="333333"/>
          <w:sz w:val="22"/>
          <w:szCs w:val="22"/>
        </w:rPr>
        <w:t xml:space="preserve">Evidence of data residency compliance with any boundary violations noted.</w:t>
      </w:r>
    </w:p>
    <w:p>
      <w:pPr>
        <w:pStyle w:val="ListParagraph"/>
        <w:numPr>
          <w:ilvl w:val="0"/>
          <w:numId w:val="11"/>
        </w:numPr>
        <w:spacing w:after="100"/>
      </w:pPr>
      <w:r>
        <w:rPr>
          <w:rFonts w:ascii="Arial" w:cs="Arial" w:eastAsia="Arial" w:hAnsi="Arial"/>
          <w:b/>
          <w:bCs/>
          <w:sz w:val="22"/>
          <w:szCs w:val="22"/>
        </w:rPr>
        <w:t xml:space="preserve">Section 8: Capability Claims Assessment: </w:t>
      </w:r>
      <w:r>
        <w:rPr>
          <w:rFonts w:ascii="Arial" w:cs="Arial" w:eastAsia="Arial" w:hAnsi="Arial"/>
          <w:color w:val="333333"/>
          <w:sz w:val="22"/>
          <w:szCs w:val="22"/>
        </w:rPr>
        <w:t xml:space="preserve">Each product claim rated for accuracy with supporting evidence.</w:t>
      </w:r>
    </w:p>
    <w:p>
      <w:pPr>
        <w:pStyle w:val="ListParagraph"/>
        <w:numPr>
          <w:ilvl w:val="0"/>
          <w:numId w:val="11"/>
        </w:numPr>
        <w:spacing w:after="100"/>
      </w:pPr>
      <w:r>
        <w:rPr>
          <w:rFonts w:ascii="Arial" w:cs="Arial" w:eastAsia="Arial" w:hAnsi="Arial"/>
          <w:b/>
          <w:bCs/>
          <w:sz w:val="22"/>
          <w:szCs w:val="22"/>
        </w:rPr>
        <w:t xml:space="preserve">Section 9: Vendor Management Response: </w:t>
      </w:r>
      <w:r>
        <w:rPr>
          <w:rFonts w:ascii="Arial" w:cs="Arial" w:eastAsia="Arial" w:hAnsi="Arial"/>
          <w:color w:val="333333"/>
          <w:sz w:val="22"/>
          <w:szCs w:val="22"/>
        </w:rPr>
        <w:t xml:space="preserve">Vendor’s response to findings, including remediation plans.</w:t>
      </w:r>
    </w:p>
    <w:p>
      <w:pPr>
        <w:pStyle w:val="ListParagraph"/>
        <w:numPr>
          <w:ilvl w:val="0"/>
          <w:numId w:val="11"/>
        </w:numPr>
        <w:spacing w:after="100"/>
      </w:pPr>
      <w:r>
        <w:rPr>
          <w:rFonts w:ascii="Arial" w:cs="Arial" w:eastAsia="Arial" w:hAnsi="Arial"/>
          <w:b/>
          <w:bCs/>
          <w:sz w:val="22"/>
          <w:szCs w:val="22"/>
        </w:rPr>
        <w:t xml:space="preserve">Section 10: Attestation Opinion: </w:t>
      </w:r>
      <w:r>
        <w:rPr>
          <w:rFonts w:ascii="Arial" w:cs="Arial" w:eastAsia="Arial" w:hAnsi="Arial"/>
          <w:color w:val="333333"/>
          <w:sz w:val="22"/>
          <w:szCs w:val="22"/>
        </w:rPr>
        <w:t xml:space="preserve">Formal opinion with signature of the lead assessor.</w:t>
      </w:r>
    </w:p>
    <w:p>
      <w:pPr>
        <w:pStyle w:val="ListParagraph"/>
        <w:numPr>
          <w:ilvl w:val="0"/>
          <w:numId w:val="11"/>
        </w:numPr>
        <w:spacing w:after="100"/>
      </w:pPr>
      <w:r>
        <w:rPr>
          <w:rFonts w:ascii="Arial" w:cs="Arial" w:eastAsia="Arial" w:hAnsi="Arial"/>
          <w:b/>
          <w:bCs/>
          <w:sz w:val="22"/>
          <w:szCs w:val="22"/>
        </w:rPr>
        <w:t xml:space="preserve">Appendix A: Agent Telemetry Summary: </w:t>
      </w:r>
      <w:r>
        <w:rPr>
          <w:rFonts w:ascii="Arial" w:cs="Arial" w:eastAsia="Arial" w:hAnsi="Arial"/>
          <w:color w:val="333333"/>
          <w:sz w:val="22"/>
          <w:szCs w:val="22"/>
        </w:rPr>
        <w:t xml:space="preserve">Aggregate statistics from the verification agent deployment period.</w:t>
      </w:r>
    </w:p>
    <w:p>
      <w:pPr>
        <w:pStyle w:val="ListParagraph"/>
        <w:numPr>
          <w:ilvl w:val="0"/>
          <w:numId w:val="11"/>
        </w:numPr>
        <w:spacing w:after="100"/>
      </w:pPr>
      <w:r>
        <w:rPr>
          <w:rFonts w:ascii="Arial" w:cs="Arial" w:eastAsia="Arial" w:hAnsi="Arial"/>
          <w:b/>
          <w:bCs/>
          <w:sz w:val="22"/>
          <w:szCs w:val="22"/>
        </w:rPr>
        <w:t xml:space="preserve">Appendix B: Evidence Index: </w:t>
      </w:r>
      <w:r>
        <w:rPr>
          <w:rFonts w:ascii="Arial" w:cs="Arial" w:eastAsia="Arial" w:hAnsi="Arial"/>
          <w:color w:val="333333"/>
          <w:sz w:val="22"/>
          <w:szCs w:val="22"/>
        </w:rPr>
        <w:t xml:space="preserve">Complete index of all evidence artifacts with integrity hashes.</w:t>
      </w:r>
    </w:p>
    <w:p>
      <w:pPr>
        <w:pStyle w:val="Heading2"/>
      </w:pPr>
      <w:r>
        <w:t xml:space="preserve">8.2 Restricted Distribution</w:t>
      </w:r>
    </w:p>
    <w:p>
      <w:pPr>
        <w:spacing w:after="200"/>
      </w:pPr>
      <w:r>
        <w:rPr>
          <w:rFonts w:ascii="Arial" w:cs="Arial" w:eastAsia="Arial" w:hAnsi="Arial"/>
          <w:b w:val="false"/>
          <w:bCs w:val="false"/>
          <w:i w:val="false"/>
          <w:iCs w:val="false"/>
          <w:color w:val="333333"/>
          <w:sz w:val="22"/>
          <w:szCs w:val="22"/>
        </w:rPr>
        <w:t xml:space="preserve">The ATVF Attestation Report contains sensitive information about the vendor’s AI architecture. Distribution shall be limited to the vendor, the vendor’s customers who have a legitimate procurement or oversight need, and regulatory bodies with jurisdiction over the vendor or their customers. The report shall be marked with an appropriate distribution restriction and the vendor shall be consulted regarding any distribution beyond the initially agreed recipients.</w:t>
      </w:r>
    </w:p>
    <w:p>
      <w:pPr>
        <w:spacing w:before="400"/>
      </w:pPr>
    </w:p>
    <w:p>
      <w:pPr>
        <w:pBdr>
          <w:top w:val="single" w:color="2E75B6" w:sz="4" w:space="8"/>
        </w:pBdr>
        <w:jc w:val="center"/>
      </w:pPr>
      <w:r>
        <w:rPr>
          <w:rFonts w:ascii="Arial" w:cs="Arial" w:eastAsia="Arial" w:hAnsi="Arial"/>
          <w:i/>
          <w:iCs/>
          <w:color w:val="666666"/>
          <w:sz w:val="20"/>
          <w:szCs w:val="20"/>
        </w:rPr>
        <w:t xml:space="preserve">END OF ASSESSOR METHODOLOGY &amp; SCORING RUBRIC</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4"/>
      </w:pBdr>
      <w:tabs>
        <w:tab w:val="right" w:pos="9026"/>
      </w:tabs>
    </w:pPr>
    <w:r>
      <w:rPr>
        <w:rFonts w:ascii="Arial" w:cs="Arial" w:eastAsia="Arial" w:hAnsi="Arial"/>
        <w:color w:val="666666"/>
        <w:sz w:val="18"/>
        <w:szCs w:val="18"/>
      </w:rPr>
      <w:t xml:space="preserve">ATVF — Assessor Methodology &amp; Scoring Rubric</w:t>
    </w:r>
    <w:r>
      <w:rPr>
        <w:rFonts w:ascii="Arial" w:cs="Arial" w:eastAsia="Arial" w:hAnsi="Arial"/>
        <w:color w:val="666666"/>
        <w:sz w:val="18"/>
        <w:szCs w:val="18"/>
      </w:rPr>
      <w:t xml:space="preserve">	v0.1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abstractNum w:abstractNumId="14" w15:restartNumberingAfterBreak="0">
    <w:multiLevelType w:val="hybridMultilevel"/>
    <w:lvl w:ilvl="0" w15:tentative="1">
      <w:start w:val="1"/>
      <w:numFmt w:val="bullet"/>
      <w:lvlText w:val="•"/>
      <w:lvlJc w:val="left"/>
      <w:pPr>
        <w:ind w:left="720" w:hanging="360"/>
      </w:pPr>
    </w:lvl>
  </w:abstractNum>
  <w:abstractNum w:abstractNumId="15" w15:restartNumberingAfterBreak="0">
    <w:multiLevelType w:val="hybridMultilevel"/>
    <w:lvl w:ilvl="0" w15:tentative="1">
      <w:start w:val="1"/>
      <w:numFmt w:val="bullet"/>
      <w:lvlText w:val="•"/>
      <w:lvlJc w:val="left"/>
      <w:pPr>
        <w:ind w:left="720" w:hanging="360"/>
      </w:pPr>
    </w:lvl>
  </w:abstractNum>
  <w:abstractNum w:abstractNumId="16"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2A4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2E75B6"/>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1B2A4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2026-02-16T04:17:01.499Z</dcterms:created>
  <dcterms:modified xsi:type="dcterms:W3CDTF">2026-02-16T04:17:01.500Z</dcterms:modified>
</cp:coreProperties>
</file>

<file path=docProps/custom.xml><?xml version="1.0" encoding="utf-8"?>
<Properties xmlns="http://schemas.openxmlformats.org/officeDocument/2006/custom-properties" xmlns:vt="http://schemas.openxmlformats.org/officeDocument/2006/docPropsVTypes"/>
</file>