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CC2222"/>
          <w:spacing w:val="200"/>
          <w:sz w:val="16"/>
          <w:szCs w:val="16"/>
        </w:rPr>
        <w:t xml:space="preserve">EXECUTIVE BRIEF</w:t>
      </w:r>
    </w:p>
    <w:p>
      <w:pPr>
        <w:pBdr>
          <w:bottom w:val="single" w:color="CC2222" w:sz="6" w:space="6"/>
        </w:pBdr>
        <w:spacing w:after="120"/>
      </w:pPr>
      <w:r>
        <w:rPr>
          <w:rFonts w:ascii="Arial" w:cs="Arial" w:eastAsia="Arial" w:hAnsi="Arial"/>
          <w:b/>
          <w:bCs/>
          <w:color w:val="1B2A4A"/>
          <w:sz w:val="32"/>
          <w:szCs w:val="32"/>
        </w:rPr>
        <w:t xml:space="preserve">AI Transparency and Verification Framework (ATVF)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Independent, evidence-based verification that AI systems operate as their vendors claim.</w:t>
      </w:r>
    </w:p>
    <w:p>
      <w:pPr>
        <w:pStyle w:val="Heading1"/>
      </w:pPr>
      <w:r>
        <w:t xml:space="preserve">The Problem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AI vendors routinely misrepresent their technology. Products marketed as “proprietary AI” are often thin wrappers around third-party APIs (OpenAI, Anthropic, Google). Customer data leaves declared compliance boundaries during inference without disclosure.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No existing compliance framework—SOC 2, FedRAMP, CMMC, HIPAA—verifies AI architectural claims at runtime.</w:t>
      </w:r>
    </w:p>
    <w:tbl>
      <w:tblPr>
        <w:tblW w:type="dxa" w:w="103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40"/>
        <w:gridCol w:w="3440"/>
        <w:gridCol w:w="3440"/>
      </w:tblGrid>
      <w:tr>
        <w:tc>
          <w:tcPr>
            <w:tcW w:type="dxa" w:w="3440"/>
            <w:tcBorders>
              <w:top w:val="single" w:color="CC2222" w:sz="3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C2222"/>
                <w:sz w:val="18"/>
                <w:szCs w:val="18"/>
              </w:rPr>
              <w:t xml:space="preserve">Compliance Boundary Violations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Data leaves FedRAMP/GCC/HIPAA boundaries through undisclosed AI API calls</w:t>
            </w:r>
          </w:p>
        </w:tc>
        <w:tc>
          <w:tcPr>
            <w:tcW w:type="dxa" w:w="3440"/>
            <w:tcBorders>
              <w:top w:val="single" w:color="CC2222" w:sz="3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C2222"/>
                <w:sz w:val="18"/>
                <w:szCs w:val="18"/>
              </w:rPr>
              <w:t xml:space="preserve">Procurement Fraud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Customers pay premium prices for repackaged $20/month API services</w:t>
            </w:r>
          </w:p>
        </w:tc>
        <w:tc>
          <w:tcPr>
            <w:tcW w:type="dxa" w:w="3440"/>
            <w:tcBorders>
              <w:top w:val="single" w:color="CC2222" w:sz="3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C2222"/>
                <w:sz w:val="18"/>
                <w:szCs w:val="18"/>
              </w:rPr>
              <w:t xml:space="preserve">Supply Chain Opacity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Critical processes depend on undisclosed third-party AI providers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The ATVF Solution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ATVF combines vendor self-disclosure (AI Bill of Materials) with kernel-level runtime observation (eBPF verification agent) to produce independent attestation opinions. It doesn’t ask if AI is good—it asks if AI is what it claims to be.</w:t>
      </w:r>
    </w:p>
    <w:tbl>
      <w:tblPr>
        <w:tblW w:type="dxa" w:w="103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632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Control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Family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Verification Method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ATV-AD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Architecture Disclosure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Machine-readable AI-BOM declaring every model, API, and pipeline stage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ATV-IL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Interaction Logging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Tamper-evident audit trail of every AI interaction with model and routing ID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ATV-RV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Runtime Verification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eBPF kernel-level monitoring of network egress, GPU utilization, and process behavior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ATV-DR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Data Residency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Verified proof that data stays within declared compliance boundaries during inference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ATV-CR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Customer Reporting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SOC 2–style attestation: Verified / Verified with Exceptions / Not Verified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Why This Is Different</w:t>
      </w:r>
    </w:p>
    <w:p>
      <w:pPr>
        <w:pBdr>
          <w:left w:val="single" w:color="1B7A3D" w:sz="12" w:space="4"/>
        </w:pBdr>
        <w:shd w:fill="F0FFF4" w:val="clear"/>
        <w:spacing w:after="100"/>
        <w:ind w:left="100" w:right="100"/>
      </w:pPr>
      <w:r>
        <w:rPr>
          <w:rFonts w:ascii="Arial" w:cs="Arial" w:eastAsia="Arial" w:hAnsi="Arial"/>
          <w:color w:val="1A4D2E"/>
          <w:sz w:val="19"/>
          <w:szCs w:val="19"/>
        </w:rPr>
        <w:t xml:space="preserve">The verification agent runs in kernel space (eBPF). The vendor’s application cannot hide network connections, fabricate GPU activity, or mask process behavior from a kernel-level observer. When ATVF says the architecture matches the disclosure, it’s because the kernel confirmed it—not because the vendor said so.</w:t>
      </w:r>
    </w:p>
    <w:p>
      <w:pPr>
        <w:pStyle w:val="Heading1"/>
      </w:pPr>
      <w:r>
        <w:t xml:space="preserve">Immediate Actions</w:t>
      </w:r>
    </w:p>
    <w:tbl>
      <w:tblPr>
        <w:tblW w:type="dxa" w:w="103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80"/>
        <w:gridCol w:w="7740"/>
      </w:tblGrid>
      <w:tr>
        <w:trPr>
          <w:tblHeader/>
        </w:trP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</w:tr>
      <w:t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CISOs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Add AI architectural verification to vendor risk assessments. Require AI-BOM disclosure.</w:t>
            </w:r>
          </w:p>
        </w:tc>
      </w:tr>
      <w:t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Procurement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Insert ATVF RFP language into AI vendor evaluations. Use the questionnaire and scorecard.</w:t>
            </w:r>
          </w:p>
        </w:tc>
      </w:tr>
      <w:t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Compliance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Map ATVF controls to existing framework requirements (NIST 800-53, CMMC, FedRAMP).</w:t>
            </w:r>
          </w:p>
        </w:tc>
      </w:tr>
      <w:t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AI Vendors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Produce an AI-BOM. Run the self-assessment. Differentiate on verified transparency.</w:t>
            </w:r>
          </w:p>
        </w:tc>
      </w:tr>
      <w:tr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Executives</w:t>
            </w:r>
          </w:p>
        </w:tc>
        <w:tc>
          <w:tcPr>
            <w:tcW w:type="dxa" w:w="7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Fund an ATVF pilot assessment on your highest-risk AI vendor. Results in 72 hours.</w:t>
            </w:r>
          </w:p>
        </w:tc>
      </w:tr>
    </w:tbl>
    <w:p>
      <w:pPr>
        <w:spacing w:after="80"/>
      </w:pPr>
    </w:p>
    <w:p>
      <w:pPr>
        <w:pBdr>
          <w:top w:val="single" w:color="1B2A4A" w:sz="4" w:space="6"/>
        </w:pBdr>
        <w:spacing w:before="100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ATVF v0.1  •  February 2026  •  Open Specification  •  Free Tools  •  Apache 2.0 Reference Implementation</w:t>
      </w:r>
    </w:p>
    <w:sectPr>
      <w:pgSz w:w="12240" w:h="15840" w:orient="portrait"/>
      <w:pgMar w:top="720" w:right="960" w:bottom="72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B2A4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2026-02-16T05:27:38.625Z</dcterms:created>
  <dcterms:modified xsi:type="dcterms:W3CDTF">2026-02-16T05:27:38.626Z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