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2A4A"/>
          <w:sz w:val="52"/>
          <w:szCs w:val="52"/>
        </w:rPr>
        <w:t xml:space="preserve">AI TRANSPARENCY AND VERIFICATION FRAMEWORK</w:t>
      </w:r>
    </w:p>
    <w:p>
      <w:pPr>
        <w:spacing w:after="100"/>
        <w:jc w:val="center"/>
      </w:pPr>
      <w:r>
        <w:rPr>
          <w:rFonts w:ascii="Arial" w:cs="Arial" w:eastAsia="Arial" w:hAnsi="Arial"/>
          <w:b/>
          <w:bCs/>
          <w:color w:val="2E75B6"/>
          <w:sz w:val="44"/>
          <w:szCs w:val="44"/>
        </w:rPr>
        <w:t xml:space="preserve">(ATVF)</w:t>
      </w:r>
    </w:p>
    <w:p>
      <w:pPr>
        <w:pBdr>
          <w:bottom w:val="single" w:color="2E75B6" w:sz="6" w:space="1"/>
        </w:pBdr>
        <w:spacing w:after="600"/>
        <w:jc w:val="center"/>
      </w:pPr>
      <w:r>
        <w:rPr>
          <w:rFonts w:ascii="Arial" w:cs="Arial" w:eastAsia="Arial" w:hAnsi="Arial"/>
          <w:color w:val="666666"/>
          <w:sz w:val="28"/>
          <w:szCs w:val="28"/>
        </w:rPr>
        <w:t xml:space="preserve">Framework Specification v0.1 — Draft</w:t>
      </w:r>
    </w:p>
    <w:p>
      <w:pPr>
        <w:spacing w:before="400"/>
      </w:pPr>
    </w:p>
    <w:p>
      <w:pPr>
        <w:spacing w:after="100"/>
        <w:jc w:val="center"/>
      </w:pPr>
      <w:r>
        <w:rPr>
          <w:rFonts w:ascii="Arial" w:cs="Arial" w:eastAsia="Arial" w:hAnsi="Arial"/>
          <w:i/>
          <w:iCs/>
          <w:color w:val="666666"/>
          <w:sz w:val="26"/>
          <w:szCs w:val="26"/>
        </w:rPr>
        <w:t xml:space="preserve">Ensuring Architectural Truthfulness and Supply Chain Integrity</w:t>
      </w:r>
    </w:p>
    <w:p>
      <w:pPr>
        <w:spacing w:after="100"/>
        <w:jc w:val="center"/>
      </w:pPr>
      <w:r>
        <w:rPr>
          <w:rFonts w:ascii="Arial" w:cs="Arial" w:eastAsia="Arial" w:hAnsi="Arial"/>
          <w:i/>
          <w:iCs/>
          <w:color w:val="666666"/>
          <w:sz w:val="26"/>
          <w:szCs w:val="26"/>
        </w:rPr>
        <w:t xml:space="preserve">for Artificial Intelligence Systems</w:t>
      </w:r>
    </w:p>
    <w:p>
      <w:pPr>
        <w:spacing w:before="2400"/>
      </w:pPr>
    </w:p>
    <w:p>
      <w:pPr>
        <w:spacing w:after="100"/>
        <w:jc w:val="center"/>
      </w:pPr>
      <w:r>
        <w:rPr>
          <w:rFonts w:ascii="Arial" w:cs="Arial" w:eastAsia="Arial" w:hAnsi="Arial"/>
          <w:color w:val="666666"/>
          <w:sz w:val="22"/>
          <w:szCs w:val="22"/>
        </w:rPr>
        <w:t xml:space="preserve">February 2026</w:t>
      </w:r>
    </w:p>
    <w:p>
      <w:pPr>
        <w:spacing w:after="100"/>
        <w:jc w:val="center"/>
      </w:pPr>
      <w:r>
        <w:rPr>
          <w:rFonts w:ascii="Arial" w:cs="Arial" w:eastAsia="Arial" w:hAnsi="Arial"/>
          <w:b/>
          <w:bCs/>
          <w:color w:val="CC0000"/>
          <w:sz w:val="22"/>
          <w:szCs w:val="22"/>
        </w:rPr>
        <w:t xml:space="preserve">WORKING DRAFT — NOT FOR DISTRIBUTION</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Executive Summary</w:t>
      </w:r>
    </w:p>
    <w:p>
      <w:pPr>
        <w:spacing w:after="200"/>
      </w:pPr>
      <w:r>
        <w:rPr>
          <w:rFonts w:ascii="Arial" w:cs="Arial" w:eastAsia="Arial" w:hAnsi="Arial"/>
          <w:b w:val="false"/>
          <w:bCs w:val="false"/>
          <w:i w:val="false"/>
          <w:iCs w:val="false"/>
          <w:color w:val="333333"/>
          <w:sz w:val="22"/>
          <w:szCs w:val="22"/>
        </w:rPr>
        <w:t xml:space="preserve">The rapid proliferation of artificial intelligence products and services has created a significant trust gap in the technology marketplace. Organizations increasingly procure AI-powered solutions based on vendor claims that are difficult or impossible to independently verify. Vendors may represent their offerings as proprietary, custom-built AI systems when, in practice, they are thin application layers built atop third-party foundation model APIs.</w:t>
      </w:r>
    </w:p>
    <w:p>
      <w:pPr>
        <w:spacing w:after="200"/>
      </w:pPr>
      <w:r>
        <w:rPr>
          <w:rFonts w:ascii="Arial" w:cs="Arial" w:eastAsia="Arial" w:hAnsi="Arial"/>
          <w:b w:val="false"/>
          <w:bCs w:val="false"/>
          <w:i w:val="false"/>
          <w:iCs w:val="false"/>
          <w:color w:val="333333"/>
          <w:sz w:val="22"/>
          <w:szCs w:val="22"/>
        </w:rPr>
        <w:t xml:space="preserve">The AI Transparency and Verification Framework (ATVF) addresses this gap by establishing a structured set of controls, audit mechanisms, and reporting standards designed to verify the architectural truthfulness of AI systems. Where existing frameworks such as NIST AI RMF, SOC 2, and ISO 42001 focus on risk governance, bias mitigation, data privacy, and organizational process maturity, ATVF focuses on a fundamentally different question: Is this AI system actually what the vendor claims it is?</w:t>
      </w:r>
    </w:p>
    <w:p>
      <w:pPr>
        <w:spacing w:after="200"/>
      </w:pPr>
      <w:r>
        <w:rPr>
          <w:rFonts w:ascii="Arial" w:cs="Arial" w:eastAsia="Arial" w:hAnsi="Arial"/>
          <w:b w:val="false"/>
          <w:bCs w:val="false"/>
          <w:i w:val="false"/>
          <w:iCs w:val="false"/>
          <w:color w:val="333333"/>
          <w:sz w:val="22"/>
          <w:szCs w:val="22"/>
        </w:rPr>
        <w:t xml:space="preserve">ATVF introduces the concept of AI Architectural Attestation — a verifiable, evidence-based assertion about the technical composition of an AI service. Through a combination of runtime instrumentation, immutable audit logging, and standardized reporting, ATVF enables organizations to distinguish between vendors who have built genuine AI capabilities and those who are reselling third-party inference behind a marketing wrapper.</w:t>
      </w:r>
    </w:p>
    <w:p>
      <w:pPr>
        <w:pBdr>
          <w:left w:val="single" w:color="2E75B6" w:sz="12" w:space="8"/>
        </w:pBdr>
        <w:spacing w:before="120" w:after="200"/>
        <w:ind w:left="360"/>
      </w:pPr>
      <w:r>
        <w:rPr>
          <w:rFonts w:ascii="Arial" w:cs="Arial" w:eastAsia="Arial" w:hAnsi="Arial"/>
          <w:i/>
          <w:iCs/>
          <w:color w:val="1B2A4A"/>
          <w:sz w:val="22"/>
          <w:szCs w:val="22"/>
        </w:rPr>
        <w:t xml:space="preserve">Key Principle: ATVF does not assess whether an AI system is good or ethical. It assesses whether an AI system is what it claims to be.</w:t>
      </w:r>
    </w:p>
    <w:p>
      <w:pPr>
        <w:spacing w:after="200"/>
      </w:pPr>
      <w:r>
        <w:rPr>
          <w:rFonts w:ascii="Arial" w:cs="Arial" w:eastAsia="Arial" w:hAnsi="Arial"/>
          <w:b w:val="false"/>
          <w:bCs w:val="false"/>
          <w:i w:val="false"/>
          <w:iCs w:val="false"/>
          <w:color w:val="333333"/>
          <w:sz w:val="22"/>
          <w:szCs w:val="22"/>
        </w:rPr>
        <w:t xml:space="preserve">This framework is designed to complement, not replace, existing AI governance standards. It can function as a standalone verification protocol or as an extension profile mapped to NIST AI RMF, NIST SP 800-53, CMMC, and FedRAMP control families.</w:t>
      </w:r>
    </w:p>
    <w:p>
      <w:r>
        <w:br w:type="page"/>
      </w:r>
    </w:p>
    <w:p>
      <w:pPr>
        <w:pStyle w:val="Heading1"/>
      </w:pPr>
      <w:r>
        <w:t xml:space="preserve">2. Problem Statement</w:t>
      </w:r>
    </w:p>
    <w:p>
      <w:pPr>
        <w:pStyle w:val="Heading2"/>
      </w:pPr>
      <w:r>
        <w:t xml:space="preserve">2.1 The AI Wrapper Economy</w:t>
      </w:r>
    </w:p>
    <w:p>
      <w:pPr>
        <w:spacing w:after="200"/>
      </w:pPr>
      <w:r>
        <w:rPr>
          <w:rFonts w:ascii="Arial" w:cs="Arial" w:eastAsia="Arial" w:hAnsi="Arial"/>
          <w:b w:val="false"/>
          <w:bCs w:val="false"/>
          <w:i w:val="false"/>
          <w:iCs w:val="false"/>
          <w:color w:val="333333"/>
          <w:sz w:val="22"/>
          <w:szCs w:val="22"/>
        </w:rPr>
        <w:t xml:space="preserve">The barrier to entry for launching an AI product has dropped dramatically. With commercially available APIs from foundation model providers such as OpenAI, Anthropic, Google, and others, it is now possible to build and market an AI-powered product in days with minimal engineering investment. While this democratization has positive effects, it has also created a class of vendors who obscure their reliance on third-party infrastructure to justify premium pricing, claim proprietary capabilities, and win procurement decisions against competitors who may have invested significantly more in genuine AI development.</w:t>
      </w:r>
    </w:p>
    <w:p>
      <w:pPr>
        <w:spacing w:after="200"/>
      </w:pPr>
      <w:r>
        <w:rPr>
          <w:rFonts w:ascii="Arial" w:cs="Arial" w:eastAsia="Arial" w:hAnsi="Arial"/>
          <w:b w:val="false"/>
          <w:bCs w:val="false"/>
          <w:i w:val="false"/>
          <w:iCs w:val="false"/>
          <w:color w:val="333333"/>
          <w:sz w:val="22"/>
          <w:szCs w:val="22"/>
        </w:rPr>
        <w:t xml:space="preserve">Common patterns observed in the market include vendors marketing API pass-through services as proprietary AI, claiming custom model training when only prompt engineering has been performed, representing fine-tuned models as fully custom-built systems, obscuring data routing through third-party inference endpoints, and making architecture claims during procurement that cannot be verified post-contract.</w:t>
      </w:r>
    </w:p>
    <w:p>
      <w:pPr>
        <w:pStyle w:val="Heading2"/>
      </w:pPr>
      <w:r>
        <w:t xml:space="preserve">2.2 Gaps in Existing Frameworks</w:t>
      </w:r>
    </w:p>
    <w:p>
      <w:pPr>
        <w:spacing w:after="200"/>
      </w:pPr>
      <w:r>
        <w:rPr>
          <w:rFonts w:ascii="Arial" w:cs="Arial" w:eastAsia="Arial" w:hAnsi="Arial"/>
          <w:b w:val="false"/>
          <w:bCs w:val="false"/>
          <w:i w:val="false"/>
          <w:iCs w:val="false"/>
          <w:color w:val="333333"/>
          <w:sz w:val="22"/>
          <w:szCs w:val="22"/>
        </w:rPr>
        <w:t xml:space="preserve">Current compliance and risk management frameworks do not address this problem:</w:t>
      </w:r>
    </w:p>
    <w:p>
      <w:pPr>
        <w:pStyle w:val="ListParagraph"/>
        <w:numPr>
          <w:ilvl w:val="0"/>
          <w:numId w:val="2"/>
        </w:numPr>
        <w:spacing w:after="100"/>
      </w:pPr>
      <w:r>
        <w:rPr>
          <w:rFonts w:ascii="Arial" w:cs="Arial" w:eastAsia="Arial" w:hAnsi="Arial"/>
          <w:b/>
          <w:bCs/>
          <w:color w:val="333333"/>
          <w:sz w:val="22"/>
          <w:szCs w:val="22"/>
        </w:rPr>
        <w:t xml:space="preserve">NIST AI RMF: </w:t>
      </w:r>
      <w:r>
        <w:rPr>
          <w:rFonts w:ascii="Arial" w:cs="Arial" w:eastAsia="Arial" w:hAnsi="Arial"/>
          <w:color w:val="333333"/>
          <w:sz w:val="22"/>
          <w:szCs w:val="22"/>
        </w:rPr>
        <w:t xml:space="preserve">Focuses on risk governance, trustworthiness characteristics (fairness, explainability, safety), and organizational process. Does not verify architectural claims or require evidence of technical composition.</w:t>
      </w:r>
    </w:p>
    <w:p>
      <w:pPr>
        <w:pStyle w:val="ListParagraph"/>
        <w:numPr>
          <w:ilvl w:val="0"/>
          <w:numId w:val="2"/>
        </w:numPr>
        <w:spacing w:after="100"/>
      </w:pPr>
      <w:r>
        <w:rPr>
          <w:rFonts w:ascii="Arial" w:cs="Arial" w:eastAsia="Arial" w:hAnsi="Arial"/>
          <w:b/>
          <w:bCs/>
          <w:color w:val="333333"/>
          <w:sz w:val="22"/>
          <w:szCs w:val="22"/>
        </w:rPr>
        <w:t xml:space="preserve">SOC 2: </w:t>
      </w:r>
      <w:r>
        <w:rPr>
          <w:rFonts w:ascii="Arial" w:cs="Arial" w:eastAsia="Arial" w:hAnsi="Arial"/>
          <w:color w:val="333333"/>
          <w:sz w:val="22"/>
          <w:szCs w:val="22"/>
        </w:rPr>
        <w:t xml:space="preserve">Assesses security controls, availability, and data handling practices. A vendor can achieve SOC 2 compliance while operating entirely as an API wrapper without disclosure.</w:t>
      </w:r>
    </w:p>
    <w:p>
      <w:pPr>
        <w:pStyle w:val="ListParagraph"/>
        <w:numPr>
          <w:ilvl w:val="0"/>
          <w:numId w:val="2"/>
        </w:numPr>
        <w:spacing w:after="100"/>
      </w:pPr>
      <w:r>
        <w:rPr>
          <w:rFonts w:ascii="Arial" w:cs="Arial" w:eastAsia="Arial" w:hAnsi="Arial"/>
          <w:b/>
          <w:bCs/>
          <w:color w:val="333333"/>
          <w:sz w:val="22"/>
          <w:szCs w:val="22"/>
        </w:rPr>
        <w:t xml:space="preserve">ISO 42001: </w:t>
      </w:r>
      <w:r>
        <w:rPr>
          <w:rFonts w:ascii="Arial" w:cs="Arial" w:eastAsia="Arial" w:hAnsi="Arial"/>
          <w:color w:val="333333"/>
          <w:sz w:val="22"/>
          <w:szCs w:val="22"/>
        </w:rPr>
        <w:t xml:space="preserve">Establishes AI management system requirements. Governance-focused; does not mandate technical verification of AI architecture.</w:t>
      </w:r>
    </w:p>
    <w:p>
      <w:pPr>
        <w:pStyle w:val="ListParagraph"/>
        <w:numPr>
          <w:ilvl w:val="0"/>
          <w:numId w:val="2"/>
        </w:numPr>
        <w:spacing w:after="100"/>
      </w:pPr>
      <w:r>
        <w:rPr>
          <w:rFonts w:ascii="Arial" w:cs="Arial" w:eastAsia="Arial" w:hAnsi="Arial"/>
          <w:b/>
          <w:bCs/>
          <w:color w:val="333333"/>
          <w:sz w:val="22"/>
          <w:szCs w:val="22"/>
        </w:rPr>
        <w:t xml:space="preserve">CMMC / NIST SP 800-171: </w:t>
      </w:r>
      <w:r>
        <w:rPr>
          <w:rFonts w:ascii="Arial" w:cs="Arial" w:eastAsia="Arial" w:hAnsi="Arial"/>
          <w:color w:val="333333"/>
          <w:sz w:val="22"/>
          <w:szCs w:val="22"/>
        </w:rPr>
        <w:t xml:space="preserve">Addresses protection of Controlled Unclassified Information (CUI) and cybersecurity maturity. Critically important for data residency, but does not verify whether a vendor’s AI is processing data where they claim it is processed.</w:t>
      </w:r>
    </w:p>
    <w:p>
      <w:pPr>
        <w:pStyle w:val="ListParagraph"/>
        <w:numPr>
          <w:ilvl w:val="0"/>
          <w:numId w:val="2"/>
        </w:numPr>
        <w:spacing w:after="100"/>
      </w:pPr>
      <w:r>
        <w:rPr>
          <w:rFonts w:ascii="Arial" w:cs="Arial" w:eastAsia="Arial" w:hAnsi="Arial"/>
          <w:b/>
          <w:bCs/>
          <w:color w:val="333333"/>
          <w:sz w:val="22"/>
          <w:szCs w:val="22"/>
        </w:rPr>
        <w:t xml:space="preserve">EU AI Act: </w:t>
      </w:r>
      <w:r>
        <w:rPr>
          <w:rFonts w:ascii="Arial" w:cs="Arial" w:eastAsia="Arial" w:hAnsi="Arial"/>
          <w:color w:val="333333"/>
          <w:sz w:val="22"/>
          <w:szCs w:val="22"/>
        </w:rPr>
        <w:t xml:space="preserve">Imposes transparency and risk classification requirements. Mandates disclosure for high-risk systems but lacks a verification mechanism for architectural claims.</w:t>
      </w:r>
    </w:p>
    <w:p>
      <w:pPr>
        <w:pStyle w:val="Heading2"/>
      </w:pPr>
      <w:r>
        <w:t xml:space="preserve">2.3 The Verification Gap</w:t>
      </w:r>
    </w:p>
    <w:p>
      <w:pPr>
        <w:spacing w:after="200"/>
      </w:pPr>
      <w:r>
        <w:rPr>
          <w:rFonts w:ascii="Arial" w:cs="Arial" w:eastAsia="Arial" w:hAnsi="Arial"/>
          <w:b w:val="false"/>
          <w:bCs w:val="false"/>
          <w:i w:val="false"/>
          <w:iCs w:val="false"/>
          <w:color w:val="333333"/>
          <w:sz w:val="22"/>
          <w:szCs w:val="22"/>
        </w:rPr>
        <w:t xml:space="preserve">The common thread across all existing frameworks is that they rely on vendor self-attestation regarding technical architecture. No current standard provides a mechanism for independent, evidence-based verification of what an AI system actually does at the infrastructure level. ATVF is designed to fill this gap.</w:t>
      </w:r>
    </w:p>
    <w:p>
      <w:r>
        <w:br w:type="page"/>
      </w:r>
    </w:p>
    <w:p>
      <w:pPr>
        <w:pStyle w:val="Heading1"/>
      </w:pPr>
      <w:r>
        <w:t xml:space="preserve">3. Framework Architecture</w:t>
      </w:r>
    </w:p>
    <w:p>
      <w:pPr>
        <w:spacing w:after="200"/>
      </w:pPr>
      <w:r>
        <w:rPr>
          <w:rFonts w:ascii="Arial" w:cs="Arial" w:eastAsia="Arial" w:hAnsi="Arial"/>
          <w:b w:val="false"/>
          <w:bCs w:val="false"/>
          <w:i w:val="false"/>
          <w:iCs w:val="false"/>
          <w:color w:val="333333"/>
          <w:sz w:val="22"/>
          <w:szCs w:val="22"/>
        </w:rPr>
        <w:t xml:space="preserve">ATVF is organized into five control families, each addressing a distinct dimension of AI transparency and verification. These control families are designed to be assessed independently, enabling organizations to adopt ATVF incrementally or to focus on the control families most relevant to their risk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Control Family</w:t>
            </w:r>
          </w:p>
        </w:tc>
        <w:tc>
          <w:tcPr>
            <w:tcW w:type="dxa" w:w="3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Domain</w:t>
            </w:r>
          </w:p>
        </w:tc>
        <w:tc>
          <w:tcPr>
            <w:tcW w:type="dxa" w:w="3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Core Question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E75B6"/>
                <w:sz w:val="20"/>
                <w:szCs w:val="20"/>
              </w:rPr>
              <w:t xml:space="preserve">ATV-AD</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Architecture Disclosure</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What is the AI system composed of?</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E75B6"/>
                <w:sz w:val="20"/>
                <w:szCs w:val="20"/>
              </w:rPr>
              <w:t xml:space="preserve">ATV-IL</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Interaction Logging</w:t>
            </w:r>
          </w:p>
        </w:tc>
        <w:tc>
          <w:tcPr>
            <w:tcW w:type="dxa" w:w="3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What happens during every AI interaction?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E75B6"/>
                <w:sz w:val="20"/>
                <w:szCs w:val="20"/>
              </w:rPr>
              <w:t xml:space="preserve">ATV-RV</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Runtime Verification</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Does observed behavior match disclosed architecture?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E75B6"/>
                <w:sz w:val="20"/>
                <w:szCs w:val="20"/>
              </w:rPr>
              <w:t xml:space="preserve">ATV-DR</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Data Residency and Flow</w:t>
            </w:r>
          </w:p>
        </w:tc>
        <w:tc>
          <w:tcPr>
            <w:tcW w:type="dxa" w:w="3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Where does data actually go during inference?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E75B6"/>
                <w:sz w:val="20"/>
                <w:szCs w:val="20"/>
              </w:rPr>
              <w:t xml:space="preserve">ATV-CR</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Customer Reporting</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Is the customer provided with verifiable evidence?</w:t>
            </w:r>
          </w:p>
        </w:tc>
      </w:tr>
    </w:tbl>
    <w:p>
      <w:pPr>
        <w:spacing w:after="200"/>
      </w:pPr>
    </w:p>
    <w:p>
      <w:r>
        <w:br w:type="page"/>
      </w:r>
    </w:p>
    <w:p>
      <w:pPr>
        <w:pStyle w:val="Heading1"/>
      </w:pPr>
      <w:r>
        <w:t xml:space="preserve">4. Control Families — Detailed Specification</w:t>
      </w:r>
    </w:p>
    <w:p>
      <w:pPr>
        <w:pStyle w:val="Heading2"/>
      </w:pPr>
      <w:r>
        <w:t xml:space="preserve">4.1 ATV-AD: Architecture Disclosure</w:t>
      </w:r>
    </w:p>
    <w:p>
      <w:pPr>
        <w:spacing w:after="200"/>
      </w:pPr>
      <w:r>
        <w:rPr>
          <w:rFonts w:ascii="Arial" w:cs="Arial" w:eastAsia="Arial" w:hAnsi="Arial"/>
          <w:b w:val="false"/>
          <w:bCs w:val="false"/>
          <w:i w:val="false"/>
          <w:iCs w:val="false"/>
          <w:color w:val="333333"/>
          <w:sz w:val="22"/>
          <w:szCs w:val="22"/>
        </w:rPr>
        <w:t xml:space="preserve">The Architecture Disclosure control family requires vendors to produce and maintain a verifiable declaration of their AI system’s technical composition. This declaration functions as an AI Bill of Materials (AI-BOM), analogous to Software Bills of Materials (SBOM) used in software supply chain security.</w:t>
      </w:r>
    </w:p>
    <w:p>
      <w:pPr>
        <w:pStyle w:val="Heading3"/>
      </w:pPr>
      <w:r>
        <w:t xml:space="preserve">4.1.1 ATV-AD-01: AI Bill of Materials (AI-BOM)</w:t>
      </w:r>
    </w:p>
    <w:p>
      <w:pPr>
        <w:spacing w:after="200"/>
      </w:pPr>
      <w:r>
        <w:rPr>
          <w:rFonts w:ascii="Arial" w:cs="Arial" w:eastAsia="Arial" w:hAnsi="Arial"/>
          <w:b w:val="false"/>
          <w:bCs w:val="false"/>
          <w:i w:val="false"/>
          <w:iCs w:val="false"/>
          <w:color w:val="333333"/>
          <w:sz w:val="22"/>
          <w:szCs w:val="22"/>
        </w:rPr>
        <w:t xml:space="preserve">The vendor shall produce and maintain a machine-readable AI Bill of Materials that identifies all AI models, APIs, and inference services used in the delivery of the product. The AI-BOM shall include:</w:t>
      </w:r>
    </w:p>
    <w:p>
      <w:pPr>
        <w:pStyle w:val="ListParagraph"/>
        <w:numPr>
          <w:ilvl w:val="0"/>
          <w:numId w:val="3"/>
        </w:numPr>
        <w:spacing w:after="100"/>
      </w:pPr>
      <w:r>
        <w:rPr>
          <w:rFonts w:ascii="Arial" w:cs="Arial" w:eastAsia="Arial" w:hAnsi="Arial"/>
          <w:b/>
          <w:bCs/>
          <w:color w:val="333333"/>
          <w:sz w:val="22"/>
          <w:szCs w:val="22"/>
        </w:rPr>
        <w:t xml:space="preserve">Model Inventory: </w:t>
      </w:r>
      <w:r>
        <w:rPr>
          <w:rFonts w:ascii="Arial" w:cs="Arial" w:eastAsia="Arial" w:hAnsi="Arial"/>
          <w:color w:val="333333"/>
          <w:sz w:val="22"/>
          <w:szCs w:val="22"/>
        </w:rPr>
        <w:t xml:space="preserve">Enumeration of all models used, including model name, version, provider, parameter count (where known), and whether the model is proprietary, open-source, fine-tuned, or accessed via third-party API.</w:t>
      </w:r>
    </w:p>
    <w:p>
      <w:pPr>
        <w:pStyle w:val="ListParagraph"/>
        <w:numPr>
          <w:ilvl w:val="0"/>
          <w:numId w:val="3"/>
        </w:numPr>
        <w:spacing w:after="100"/>
      </w:pPr>
      <w:r>
        <w:rPr>
          <w:rFonts w:ascii="Arial" w:cs="Arial" w:eastAsia="Arial" w:hAnsi="Arial"/>
          <w:b/>
          <w:bCs/>
          <w:color w:val="333333"/>
          <w:sz w:val="22"/>
          <w:szCs w:val="22"/>
        </w:rPr>
        <w:t xml:space="preserve">API Dependencies: </w:t>
      </w:r>
      <w:r>
        <w:rPr>
          <w:rFonts w:ascii="Arial" w:cs="Arial" w:eastAsia="Arial" w:hAnsi="Arial"/>
          <w:color w:val="333333"/>
          <w:sz w:val="22"/>
          <w:szCs w:val="22"/>
        </w:rPr>
        <w:t xml:space="preserve">All external API endpoints called during inference, including provider, endpoint URIs, authentication mechanisms, and data formats transmitted.</w:t>
      </w:r>
    </w:p>
    <w:p>
      <w:pPr>
        <w:pStyle w:val="ListParagraph"/>
        <w:numPr>
          <w:ilvl w:val="0"/>
          <w:numId w:val="3"/>
        </w:numPr>
        <w:spacing w:after="100"/>
      </w:pPr>
      <w:r>
        <w:rPr>
          <w:rFonts w:ascii="Arial" w:cs="Arial" w:eastAsia="Arial" w:hAnsi="Arial"/>
          <w:b/>
          <w:bCs/>
          <w:color w:val="333333"/>
          <w:sz w:val="22"/>
          <w:szCs w:val="22"/>
        </w:rPr>
        <w:t xml:space="preserve">Processing Pipeline: </w:t>
      </w:r>
      <w:r>
        <w:rPr>
          <w:rFonts w:ascii="Arial" w:cs="Arial" w:eastAsia="Arial" w:hAnsi="Arial"/>
          <w:color w:val="333333"/>
          <w:sz w:val="22"/>
          <w:szCs w:val="22"/>
        </w:rPr>
        <w:t xml:space="preserve">A description of the inference pipeline from input to output, identifying each stage (preprocessing, embedding, retrieval, inference, postprocessing) and the component responsible for each stage.</w:t>
      </w:r>
    </w:p>
    <w:p>
      <w:pPr>
        <w:pStyle w:val="ListParagraph"/>
        <w:numPr>
          <w:ilvl w:val="0"/>
          <w:numId w:val="3"/>
        </w:numPr>
        <w:spacing w:after="100"/>
      </w:pPr>
      <w:r>
        <w:rPr>
          <w:rFonts w:ascii="Arial" w:cs="Arial" w:eastAsia="Arial" w:hAnsi="Arial"/>
          <w:b/>
          <w:bCs/>
          <w:color w:val="333333"/>
          <w:sz w:val="22"/>
          <w:szCs w:val="22"/>
        </w:rPr>
        <w:t xml:space="preserve">Custom vs. Third-Party Delineation: </w:t>
      </w:r>
      <w:r>
        <w:rPr>
          <w:rFonts w:ascii="Arial" w:cs="Arial" w:eastAsia="Arial" w:hAnsi="Arial"/>
          <w:color w:val="333333"/>
          <w:sz w:val="22"/>
          <w:szCs w:val="22"/>
        </w:rPr>
        <w:t xml:space="preserve">Explicit identification of which components are built and maintained by the vendor versus sourced from third parties.</w:t>
      </w:r>
    </w:p>
    <w:p>
      <w:pPr>
        <w:pStyle w:val="Heading3"/>
      </w:pPr>
      <w:r>
        <w:t xml:space="preserve">4.1.2 ATV-AD-02: Architecture Change Notification</w:t>
      </w:r>
    </w:p>
    <w:p>
      <w:pPr>
        <w:spacing w:after="200"/>
      </w:pPr>
      <w:r>
        <w:rPr>
          <w:rFonts w:ascii="Arial" w:cs="Arial" w:eastAsia="Arial" w:hAnsi="Arial"/>
          <w:b w:val="false"/>
          <w:bCs w:val="false"/>
          <w:i w:val="false"/>
          <w:iCs w:val="false"/>
          <w:color w:val="333333"/>
          <w:sz w:val="22"/>
          <w:szCs w:val="22"/>
        </w:rPr>
        <w:t xml:space="preserve">The vendor shall notify customers within 30 calendar days of any material change to the AI architecture, including model substitution, addition or removal of API dependencies, changes to inference routing, or migration of processing between local and third-party infrastructure. Material changes shall trigger an updated AI-BOM.</w:t>
      </w:r>
    </w:p>
    <w:p>
      <w:pPr>
        <w:pStyle w:val="Heading3"/>
      </w:pPr>
      <w:r>
        <w:t xml:space="preserve">4.1.3 ATV-AD-03: Capability Claims Register</w:t>
      </w:r>
    </w:p>
    <w:p>
      <w:pPr>
        <w:spacing w:after="200"/>
      </w:pPr>
      <w:r>
        <w:rPr>
          <w:rFonts w:ascii="Arial" w:cs="Arial" w:eastAsia="Arial" w:hAnsi="Arial"/>
          <w:b w:val="false"/>
          <w:bCs w:val="false"/>
          <w:i w:val="false"/>
          <w:iCs w:val="false"/>
          <w:color w:val="333333"/>
          <w:sz w:val="22"/>
          <w:szCs w:val="22"/>
        </w:rPr>
        <w:t xml:space="preserve">The vendor shall maintain a register mapping each product capability claim (as represented in marketing materials, sales presentations, and contractual documentation) to the specific technical components that deliver that capability. This register shall be available to assessors and, in summary form, to customers.</w:t>
      </w:r>
    </w:p>
    <w:p>
      <w:r>
        <w:br w:type="page"/>
      </w:r>
    </w:p>
    <w:p>
      <w:pPr>
        <w:pStyle w:val="Heading2"/>
      </w:pPr>
      <w:r>
        <w:t xml:space="preserve">4.2 ATV-IL: Interaction Logging and Provenance</w:t>
      </w:r>
    </w:p>
    <w:p>
      <w:pPr>
        <w:spacing w:after="200"/>
      </w:pPr>
      <w:r>
        <w:rPr>
          <w:rFonts w:ascii="Arial" w:cs="Arial" w:eastAsia="Arial" w:hAnsi="Arial"/>
          <w:b w:val="false"/>
          <w:bCs w:val="false"/>
          <w:i w:val="false"/>
          <w:iCs w:val="false"/>
          <w:color w:val="333333"/>
          <w:sz w:val="22"/>
          <w:szCs w:val="22"/>
        </w:rPr>
        <w:t xml:space="preserve">The Interaction Logging control family establishes requirements for comprehensive, tamper-evident audit trails of all AI interactions. This is the evidentiary backbone of the framework — without immutable interaction records, no verification is possible.</w:t>
      </w:r>
    </w:p>
    <w:p>
      <w:pPr>
        <w:pStyle w:val="Heading3"/>
      </w:pPr>
      <w:r>
        <w:t xml:space="preserve">4.2.1 ATV-IL-01: Interaction Audit Trail</w:t>
      </w:r>
    </w:p>
    <w:p>
      <w:pPr>
        <w:spacing w:after="200"/>
      </w:pPr>
      <w:r>
        <w:rPr>
          <w:rFonts w:ascii="Arial" w:cs="Arial" w:eastAsia="Arial" w:hAnsi="Arial"/>
          <w:b w:val="false"/>
          <w:bCs w:val="false"/>
          <w:i w:val="false"/>
          <w:iCs w:val="false"/>
          <w:color w:val="333333"/>
          <w:sz w:val="22"/>
          <w:szCs w:val="22"/>
        </w:rPr>
        <w:t xml:space="preserve">Every AI interaction processed by the system shall generate an immutable audit record containing:</w:t>
      </w:r>
    </w:p>
    <w:p>
      <w:pPr>
        <w:pStyle w:val="ListParagraph"/>
        <w:numPr>
          <w:ilvl w:val="0"/>
          <w:numId w:val="4"/>
        </w:numPr>
        <w:spacing w:after="100"/>
      </w:pPr>
      <w:r>
        <w:rPr>
          <w:rFonts w:ascii="Arial" w:cs="Arial" w:eastAsia="Arial" w:hAnsi="Arial"/>
          <w:b/>
          <w:bCs/>
          <w:color w:val="333333"/>
          <w:sz w:val="22"/>
          <w:szCs w:val="22"/>
        </w:rPr>
        <w:t xml:space="preserve">Request Metadata: </w:t>
      </w:r>
      <w:r>
        <w:rPr>
          <w:rFonts w:ascii="Arial" w:cs="Arial" w:eastAsia="Arial" w:hAnsi="Arial"/>
          <w:color w:val="333333"/>
          <w:sz w:val="22"/>
          <w:szCs w:val="22"/>
        </w:rPr>
        <w:t xml:space="preserve">Timestamp (UTC, millisecond precision), unique interaction ID, session identifier, and requesting entity (anonymized or tokenized for privacy).</w:t>
      </w:r>
    </w:p>
    <w:p>
      <w:pPr>
        <w:pStyle w:val="ListParagraph"/>
        <w:numPr>
          <w:ilvl w:val="0"/>
          <w:numId w:val="4"/>
        </w:numPr>
        <w:spacing w:after="100"/>
      </w:pPr>
      <w:r>
        <w:rPr>
          <w:rFonts w:ascii="Arial" w:cs="Arial" w:eastAsia="Arial" w:hAnsi="Arial"/>
          <w:b/>
          <w:bCs/>
          <w:color w:val="333333"/>
          <w:sz w:val="22"/>
          <w:szCs w:val="22"/>
        </w:rPr>
        <w:t xml:space="preserve">Routing Record: </w:t>
      </w:r>
      <w:r>
        <w:rPr>
          <w:rFonts w:ascii="Arial" w:cs="Arial" w:eastAsia="Arial" w:hAnsi="Arial"/>
          <w:color w:val="333333"/>
          <w:sz w:val="22"/>
          <w:szCs w:val="22"/>
        </w:rPr>
        <w:t xml:space="preserve">The inference path taken by the request, identifying each component in the pipeline, the model or service that processed the request, and whether processing occurred locally or via an external API.</w:t>
      </w:r>
    </w:p>
    <w:p>
      <w:pPr>
        <w:pStyle w:val="ListParagraph"/>
        <w:numPr>
          <w:ilvl w:val="0"/>
          <w:numId w:val="4"/>
        </w:numPr>
        <w:spacing w:after="100"/>
      </w:pPr>
      <w:r>
        <w:rPr>
          <w:rFonts w:ascii="Arial" w:cs="Arial" w:eastAsia="Arial" w:hAnsi="Arial"/>
          <w:b/>
          <w:bCs/>
          <w:color w:val="333333"/>
          <w:sz w:val="22"/>
          <w:szCs w:val="22"/>
        </w:rPr>
        <w:t xml:space="preserve">Model Identification: </w:t>
      </w:r>
      <w:r>
        <w:rPr>
          <w:rFonts w:ascii="Arial" w:cs="Arial" w:eastAsia="Arial" w:hAnsi="Arial"/>
          <w:color w:val="333333"/>
          <w:sz w:val="22"/>
          <w:szCs w:val="22"/>
        </w:rPr>
        <w:t xml:space="preserve">The specific model name, version, and endpoint that generated the response.</w:t>
      </w:r>
    </w:p>
    <w:p>
      <w:pPr>
        <w:pStyle w:val="ListParagraph"/>
        <w:numPr>
          <w:ilvl w:val="0"/>
          <w:numId w:val="4"/>
        </w:numPr>
        <w:spacing w:after="100"/>
      </w:pPr>
      <w:r>
        <w:rPr>
          <w:rFonts w:ascii="Arial" w:cs="Arial" w:eastAsia="Arial" w:hAnsi="Arial"/>
          <w:b/>
          <w:bCs/>
          <w:color w:val="333333"/>
          <w:sz w:val="22"/>
          <w:szCs w:val="22"/>
        </w:rPr>
        <w:t xml:space="preserve">Performance Telemetry: </w:t>
      </w:r>
      <w:r>
        <w:rPr>
          <w:rFonts w:ascii="Arial" w:cs="Arial" w:eastAsia="Arial" w:hAnsi="Arial"/>
          <w:color w:val="333333"/>
          <w:sz w:val="22"/>
          <w:szCs w:val="22"/>
        </w:rPr>
        <w:t xml:space="preserve">Latency measurements at each pipeline stage, token counts (input and output), compute resource utilization metrics, and any retry or fallback events.</w:t>
      </w:r>
    </w:p>
    <w:p>
      <w:pPr>
        <w:pStyle w:val="ListParagraph"/>
        <w:numPr>
          <w:ilvl w:val="0"/>
          <w:numId w:val="4"/>
        </w:numPr>
        <w:spacing w:after="100"/>
      </w:pPr>
      <w:r>
        <w:rPr>
          <w:rFonts w:ascii="Arial" w:cs="Arial" w:eastAsia="Arial" w:hAnsi="Arial"/>
          <w:b/>
          <w:bCs/>
          <w:color w:val="333333"/>
          <w:sz w:val="22"/>
          <w:szCs w:val="22"/>
        </w:rPr>
        <w:t xml:space="preserve">Output Metadata: </w:t>
      </w:r>
      <w:r>
        <w:rPr>
          <w:rFonts w:ascii="Arial" w:cs="Arial" w:eastAsia="Arial" w:hAnsi="Arial"/>
          <w:color w:val="333333"/>
          <w:sz w:val="22"/>
          <w:szCs w:val="22"/>
        </w:rPr>
        <w:t xml:space="preserve">Response timestamp, output token count, confidence scores (where applicable), and any content filtering or modification applied post-inference.</w:t>
      </w:r>
    </w:p>
    <w:p>
      <w:pPr>
        <w:pStyle w:val="Heading3"/>
      </w:pPr>
      <w:r>
        <w:t xml:space="preserve">4.2.2 ATV-IL-02: Log Immutability</w:t>
      </w:r>
    </w:p>
    <w:p>
      <w:pPr>
        <w:spacing w:after="200"/>
      </w:pPr>
      <w:r>
        <w:rPr>
          <w:rFonts w:ascii="Arial" w:cs="Arial" w:eastAsia="Arial" w:hAnsi="Arial"/>
          <w:b w:val="false"/>
          <w:bCs w:val="false"/>
          <w:i w:val="false"/>
          <w:iCs w:val="false"/>
          <w:color w:val="333333"/>
          <w:sz w:val="22"/>
          <w:szCs w:val="22"/>
        </w:rPr>
        <w:t xml:space="preserve">Audit records shall be stored in a tamper-evident manner. Acceptable implementations include cryptographic chaining (hash chain or Merkle tree structures where each record’s integrity is linked to previous records), write-once storage with deletion protection, third-party log escrow (records transmitted in real-time to an independent custodian), or any combination that ensures records cannot be retroactively modified, deleted, or reordered without detection.</w:t>
      </w:r>
    </w:p>
    <w:p>
      <w:pPr>
        <w:pStyle w:val="Heading3"/>
      </w:pPr>
      <w:r>
        <w:t xml:space="preserve">4.2.3 ATV-IL-03: Log Retention and Availability</w:t>
      </w:r>
    </w:p>
    <w:p>
      <w:pPr>
        <w:spacing w:after="200"/>
      </w:pPr>
      <w:r>
        <w:rPr>
          <w:rFonts w:ascii="Arial" w:cs="Arial" w:eastAsia="Arial" w:hAnsi="Arial"/>
          <w:b w:val="false"/>
          <w:bCs w:val="false"/>
          <w:i w:val="false"/>
          <w:iCs w:val="false"/>
          <w:color w:val="333333"/>
          <w:sz w:val="22"/>
          <w:szCs w:val="22"/>
        </w:rPr>
        <w:t xml:space="preserve">Audit records shall be retained for a minimum of 12 months from the date of creation. Records shall be available to authorized assessors within 48 hours of request. Customers shall have access to summary-level interaction reports on a monthly cadence at minimum.</w:t>
      </w:r>
    </w:p>
    <w:p>
      <w:pPr>
        <w:pStyle w:val="Heading3"/>
      </w:pPr>
      <w:r>
        <w:t xml:space="preserve">4.2.4 ATV-IL-04: Privacy-Preserving Logging</w:t>
      </w:r>
    </w:p>
    <w:p>
      <w:pPr>
        <w:spacing w:after="200"/>
      </w:pPr>
      <w:r>
        <w:rPr>
          <w:rFonts w:ascii="Arial" w:cs="Arial" w:eastAsia="Arial" w:hAnsi="Arial"/>
          <w:b w:val="false"/>
          <w:bCs w:val="false"/>
          <w:i w:val="false"/>
          <w:iCs w:val="false"/>
          <w:color w:val="333333"/>
          <w:sz w:val="22"/>
          <w:szCs w:val="22"/>
        </w:rPr>
        <w:t xml:space="preserve">The interaction audit trail shall not store raw customer input or output content unless the customer explicitly opts in. Default logging shall use content hashing, tokenization, or other privacy-preserving techniques that enable verification of interaction routing without exposing sensitive data. This control ensures ATVF compliance does not conflict with data protection requirements under GDPR, CCPA, HIPAA, or equivalent regulations.</w:t>
      </w:r>
    </w:p>
    <w:p>
      <w:r>
        <w:br w:type="page"/>
      </w:r>
    </w:p>
    <w:p>
      <w:pPr>
        <w:pStyle w:val="Heading2"/>
      </w:pPr>
      <w:r>
        <w:t xml:space="preserve">4.3 ATV-RV: Runtime Verification</w:t>
      </w:r>
    </w:p>
    <w:p>
      <w:pPr>
        <w:spacing w:after="200"/>
      </w:pPr>
      <w:r>
        <w:rPr>
          <w:rFonts w:ascii="Arial" w:cs="Arial" w:eastAsia="Arial" w:hAnsi="Arial"/>
          <w:b w:val="false"/>
          <w:bCs w:val="false"/>
          <w:i w:val="false"/>
          <w:iCs w:val="false"/>
          <w:color w:val="333333"/>
          <w:sz w:val="22"/>
          <w:szCs w:val="22"/>
        </w:rPr>
        <w:t xml:space="preserve">The Runtime Verification control family provides the technical mechanism for validating that a vendor’s actual system behavior matches their Architecture Disclosure. This is where observability instrumentation — including eBPF-based probes — provides independent evidence.</w:t>
      </w:r>
    </w:p>
    <w:p>
      <w:pPr>
        <w:pStyle w:val="Heading3"/>
      </w:pPr>
      <w:r>
        <w:t xml:space="preserve">4.3.1 ATV-RV-01: Network Egress Monitoring</w:t>
      </w:r>
    </w:p>
    <w:p>
      <w:pPr>
        <w:spacing w:after="200"/>
      </w:pPr>
      <w:r>
        <w:rPr>
          <w:rFonts w:ascii="Arial" w:cs="Arial" w:eastAsia="Arial" w:hAnsi="Arial"/>
          <w:b w:val="false"/>
          <w:bCs w:val="false"/>
          <w:i w:val="false"/>
          <w:iCs w:val="false"/>
          <w:color w:val="333333"/>
          <w:sz w:val="22"/>
          <w:szCs w:val="22"/>
        </w:rPr>
        <w:t xml:space="preserve">The verification agent shall monitor all outbound network connections originating from the AI service during inference operations. The agent shall identify and record destination IP addresses and domains (resolved and unresolved), TLS certificate details for encrypted connections, data volume transmitted and received per connection, and correlation of network activity to specific interaction audit records. Outbound connections to known foundation model API endpoints (e.g., api.openai.com, api.anthropic.com, generativelanguage.googleapis.com) shall be flagged and compared against the vendor’s Architecture Disclosure.</w:t>
      </w:r>
    </w:p>
    <w:p>
      <w:pPr>
        <w:pStyle w:val="Heading3"/>
      </w:pPr>
      <w:r>
        <w:t xml:space="preserve">4.3.2 ATV-RV-02: Compute Signature Analysis</w:t>
      </w:r>
    </w:p>
    <w:p>
      <w:pPr>
        <w:spacing w:after="200"/>
      </w:pPr>
      <w:r>
        <w:rPr>
          <w:rFonts w:ascii="Arial" w:cs="Arial" w:eastAsia="Arial" w:hAnsi="Arial"/>
          <w:b w:val="false"/>
          <w:bCs w:val="false"/>
          <w:i w:val="false"/>
          <w:iCs w:val="false"/>
          <w:color w:val="333333"/>
          <w:sz w:val="22"/>
          <w:szCs w:val="22"/>
        </w:rPr>
        <w:t xml:space="preserve">The verification agent shall profile the compute characteristics of inference operations to distinguish between local model inference and API proxy patterns. Metrics shall include GPU utilization patterns during inference (local inference exhibits sustained GPU compute; API proxying does not), memory allocation profiles (loading model weights produces characteristic allocation patterns), CPU utilization correlation with inference requests, and latency distribution analysis (local inference has different latency profiles than network-dependent API calls). The compute signature shall be compared against expected profiles for the model architecture declared in the AI-BOM.</w:t>
      </w:r>
    </w:p>
    <w:p>
      <w:pPr>
        <w:pStyle w:val="Heading3"/>
      </w:pPr>
      <w:r>
        <w:t xml:space="preserve">4.3.3 ATV-RV-03: Verification Agent Deployment</w:t>
      </w:r>
    </w:p>
    <w:p>
      <w:pPr>
        <w:spacing w:after="200"/>
      </w:pPr>
      <w:r>
        <w:rPr>
          <w:rFonts w:ascii="Arial" w:cs="Arial" w:eastAsia="Arial" w:hAnsi="Arial"/>
          <w:b w:val="false"/>
          <w:bCs w:val="false"/>
          <w:i w:val="false"/>
          <w:iCs w:val="false"/>
          <w:color w:val="333333"/>
          <w:sz w:val="22"/>
          <w:szCs w:val="22"/>
        </w:rPr>
        <w:t xml:space="preserve">The verification agent shall operate at the kernel level using eBPF or equivalent technology that provides system call-level observability without requiring application modification. The agent shall be deployed in the vendor’s production environment and shall run continuously during assessment periods. The agent itself shall be integrity-protected, with its own attestation chain confirming it has not been tampered with. Acceptable deployment models include vendor self-hosted with assessor-validated agent integrity, assessor-deployed agent in vendor environment (preferred for high-assurance contexts), and cloud provider attestation services (e.g., confidential computing TEE attestation) as supplementary evidence.</w:t>
      </w:r>
    </w:p>
    <w:p>
      <w:pPr>
        <w:pStyle w:val="Heading3"/>
      </w:pPr>
      <w:r>
        <w:t xml:space="preserve">4.3.4 ATV-RV-04: Anti-Evasion Controls</w:t>
      </w:r>
    </w:p>
    <w:p>
      <w:pPr>
        <w:spacing w:after="200"/>
      </w:pPr>
      <w:r>
        <w:rPr>
          <w:rFonts w:ascii="Arial" w:cs="Arial" w:eastAsia="Arial" w:hAnsi="Arial"/>
          <w:b w:val="false"/>
          <w:bCs w:val="false"/>
          <w:i w:val="false"/>
          <w:iCs w:val="false"/>
          <w:color w:val="333333"/>
          <w:sz w:val="22"/>
          <w:szCs w:val="22"/>
        </w:rPr>
        <w:t xml:space="preserve">The framework acknowledges that a sufficiently motivated vendor may attempt to game verification. Anti-evasion measures shall include traffic analysis to detect proxying or tunneling of API calls through vendor-controlled intermediaries, statistical analysis of latency distributions to detect artificial delays designed to mimic local inference, randomized verification windows to prevent vendors from altering behavior during known assessment periods, and cross-correlation of compute metrics with network activity and interaction logs to identify inconsistencies.</w:t>
      </w:r>
    </w:p>
    <w:p>
      <w:r>
        <w:br w:type="page"/>
      </w:r>
    </w:p>
    <w:p>
      <w:pPr>
        <w:pStyle w:val="Heading2"/>
      </w:pPr>
      <w:r>
        <w:t xml:space="preserve">4.4 ATV-DR: Data Residency and Flow Verification</w:t>
      </w:r>
    </w:p>
    <w:p>
      <w:pPr>
        <w:spacing w:after="200"/>
      </w:pPr>
      <w:r>
        <w:rPr>
          <w:rFonts w:ascii="Arial" w:cs="Arial" w:eastAsia="Arial" w:hAnsi="Arial"/>
          <w:b w:val="false"/>
          <w:bCs w:val="false"/>
          <w:i w:val="false"/>
          <w:iCs w:val="false"/>
          <w:color w:val="333333"/>
          <w:sz w:val="22"/>
          <w:szCs w:val="22"/>
        </w:rPr>
        <w:t xml:space="preserve">The Data Residency control family extends existing data protection frameworks by providing evidence-based verification of where customer data actually travels during AI inference. This is particularly critical for organizations operating under CMMC, FedRAMP, ITAR, or similar regulatory regimes where data sovereignty is a contractual and legal requirement.</w:t>
      </w:r>
    </w:p>
    <w:p>
      <w:pPr>
        <w:pStyle w:val="Heading3"/>
      </w:pPr>
      <w:r>
        <w:t xml:space="preserve">4.4.1 ATV-DR-01: Data Flow Mapping</w:t>
      </w:r>
    </w:p>
    <w:p>
      <w:pPr>
        <w:spacing w:after="200"/>
      </w:pPr>
      <w:r>
        <w:rPr>
          <w:rFonts w:ascii="Arial" w:cs="Arial" w:eastAsia="Arial" w:hAnsi="Arial"/>
          <w:b w:val="false"/>
          <w:bCs w:val="false"/>
          <w:i w:val="false"/>
          <w:iCs w:val="false"/>
          <w:color w:val="333333"/>
          <w:sz w:val="22"/>
          <w:szCs w:val="22"/>
        </w:rPr>
        <w:t xml:space="preserve">The vendor shall produce a verified data flow map identifying every system, service, and network boundary that customer data traverses during the complete inference lifecycle. This map shall include ingress points, preprocessing locations, inference endpoints, any intermediate storage, postprocessing locations, and response delivery paths. The data flow map shall be validated against observed network behavior captured by the Runtime Verification controls.</w:t>
      </w:r>
    </w:p>
    <w:p>
      <w:pPr>
        <w:pStyle w:val="Heading3"/>
      </w:pPr>
      <w:r>
        <w:t xml:space="preserve">4.4.2 ATV-DR-02: Boundary Attestation</w:t>
      </w:r>
    </w:p>
    <w:p>
      <w:pPr>
        <w:spacing w:after="200"/>
      </w:pPr>
      <w:r>
        <w:rPr>
          <w:rFonts w:ascii="Arial" w:cs="Arial" w:eastAsia="Arial" w:hAnsi="Arial"/>
          <w:b w:val="false"/>
          <w:bCs w:val="false"/>
          <w:i w:val="false"/>
          <w:iCs w:val="false"/>
          <w:color w:val="333333"/>
          <w:sz w:val="22"/>
          <w:szCs w:val="22"/>
        </w:rPr>
        <w:t xml:space="preserve">For vendors claiming data residency within specific compliance boundaries (e.g., FedRAMP High, GCC, GCC High, IL4/IL5), the verification agent shall confirm that no data leaves the declared boundary during inference. This includes detection of cross-region API calls, data replication to non-compliant storage, and inference routing through endpoints outside the declared boundary. Boundary violations shall be logged as critical findings in the assessment report.</w:t>
      </w:r>
    </w:p>
    <w:p>
      <w:pPr>
        <w:pStyle w:val="Heading3"/>
      </w:pPr>
      <w:r>
        <w:t xml:space="preserve">4.4.3 ATV-DR-03: Third-Party Data Exposure</w:t>
      </w:r>
    </w:p>
    <w:p>
      <w:pPr>
        <w:spacing w:after="200"/>
      </w:pPr>
      <w:r>
        <w:rPr>
          <w:rFonts w:ascii="Arial" w:cs="Arial" w:eastAsia="Arial" w:hAnsi="Arial"/>
          <w:b w:val="false"/>
          <w:bCs w:val="false"/>
          <w:i w:val="false"/>
          <w:iCs w:val="false"/>
          <w:color w:val="333333"/>
          <w:sz w:val="22"/>
          <w:szCs w:val="22"/>
        </w:rPr>
        <w:t xml:space="preserve">The vendor shall disclose all third-party entities that receive, process, or store customer data as part of AI operations. This includes foundation model providers, embedding services, vector database providers, content moderation services, and telemetry or analytics platforms. Each third-party relationship shall be documented with the specific data elements shared, the purpose of sharing, the data protection controls in place, and the geographic location of processing.</w:t>
      </w:r>
    </w:p>
    <w:p>
      <w:r>
        <w:br w:type="page"/>
      </w:r>
    </w:p>
    <w:p>
      <w:pPr>
        <w:pStyle w:val="Heading2"/>
      </w:pPr>
      <w:r>
        <w:t xml:space="preserve">4.5 ATV-CR: Customer Reporting</w:t>
      </w:r>
    </w:p>
    <w:p>
      <w:pPr>
        <w:spacing w:after="200"/>
      </w:pPr>
      <w:r>
        <w:rPr>
          <w:rFonts w:ascii="Arial" w:cs="Arial" w:eastAsia="Arial" w:hAnsi="Arial"/>
          <w:b w:val="false"/>
          <w:bCs w:val="false"/>
          <w:i w:val="false"/>
          <w:iCs w:val="false"/>
          <w:color w:val="333333"/>
          <w:sz w:val="22"/>
          <w:szCs w:val="22"/>
        </w:rPr>
        <w:t xml:space="preserve">The Customer Reporting control family defines the deliverables that make ATVF verification actionable for procurement decisions and ongoing vendor management. Reports are modeled on the structure of SOC 2 Type II reports, providing both point-in-time and observation-period evidence.</w:t>
      </w:r>
    </w:p>
    <w:p>
      <w:pPr>
        <w:pStyle w:val="Heading3"/>
      </w:pPr>
      <w:r>
        <w:t xml:space="preserve">4.5.1 ATV-CR-01: ATVF Attestation Report</w:t>
      </w:r>
    </w:p>
    <w:p>
      <w:pPr>
        <w:spacing w:after="200"/>
      </w:pPr>
      <w:r>
        <w:rPr>
          <w:rFonts w:ascii="Arial" w:cs="Arial" w:eastAsia="Arial" w:hAnsi="Arial"/>
          <w:b w:val="false"/>
          <w:bCs w:val="false"/>
          <w:i w:val="false"/>
          <w:iCs w:val="false"/>
          <w:color w:val="333333"/>
          <w:sz w:val="22"/>
          <w:szCs w:val="22"/>
        </w:rPr>
        <w:t xml:space="preserve">The assessor shall produce an ATVF Attestation Report following each assessment engagement. The report shall include:</w:t>
      </w:r>
    </w:p>
    <w:p>
      <w:pPr>
        <w:pStyle w:val="ListParagraph"/>
        <w:numPr>
          <w:ilvl w:val="0"/>
          <w:numId w:val="5"/>
        </w:numPr>
        <w:spacing w:after="100"/>
      </w:pPr>
      <w:r>
        <w:rPr>
          <w:rFonts w:ascii="Arial" w:cs="Arial" w:eastAsia="Arial" w:hAnsi="Arial"/>
          <w:b/>
          <w:bCs/>
          <w:color w:val="333333"/>
          <w:sz w:val="22"/>
          <w:szCs w:val="22"/>
        </w:rPr>
        <w:t xml:space="preserve">Architecture Summary: </w:t>
      </w:r>
      <w:r>
        <w:rPr>
          <w:rFonts w:ascii="Arial" w:cs="Arial" w:eastAsia="Arial" w:hAnsi="Arial"/>
          <w:color w:val="333333"/>
          <w:sz w:val="22"/>
          <w:szCs w:val="22"/>
        </w:rPr>
        <w:t xml:space="preserve">A description of the assessed system’s AI architecture as verified by the assessor, including all models, APIs, and processing components identified.</w:t>
      </w:r>
    </w:p>
    <w:p>
      <w:pPr>
        <w:pStyle w:val="ListParagraph"/>
        <w:numPr>
          <w:ilvl w:val="0"/>
          <w:numId w:val="5"/>
        </w:numPr>
        <w:spacing w:after="100"/>
      </w:pPr>
      <w:r>
        <w:rPr>
          <w:rFonts w:ascii="Arial" w:cs="Arial" w:eastAsia="Arial" w:hAnsi="Arial"/>
          <w:b/>
          <w:bCs/>
          <w:color w:val="333333"/>
          <w:sz w:val="22"/>
          <w:szCs w:val="22"/>
        </w:rPr>
        <w:t xml:space="preserve">AI-BOM Verification: </w:t>
      </w:r>
      <w:r>
        <w:rPr>
          <w:rFonts w:ascii="Arial" w:cs="Arial" w:eastAsia="Arial" w:hAnsi="Arial"/>
          <w:color w:val="333333"/>
          <w:sz w:val="22"/>
          <w:szCs w:val="22"/>
        </w:rPr>
        <w:t xml:space="preserve">A comparison of the vendor’s declared AI-BOM against observed system behavior, with findings on any discrepancies.</w:t>
      </w:r>
    </w:p>
    <w:p>
      <w:pPr>
        <w:pStyle w:val="ListParagraph"/>
        <w:numPr>
          <w:ilvl w:val="0"/>
          <w:numId w:val="5"/>
        </w:numPr>
        <w:spacing w:after="100"/>
      </w:pPr>
      <w:r>
        <w:rPr>
          <w:rFonts w:ascii="Arial" w:cs="Arial" w:eastAsia="Arial" w:hAnsi="Arial"/>
          <w:b/>
          <w:bCs/>
          <w:color w:val="333333"/>
          <w:sz w:val="22"/>
          <w:szCs w:val="22"/>
        </w:rPr>
        <w:t xml:space="preserve">Interaction Audit Summary: </w:t>
      </w:r>
      <w:r>
        <w:rPr>
          <w:rFonts w:ascii="Arial" w:cs="Arial" w:eastAsia="Arial" w:hAnsi="Arial"/>
          <w:color w:val="333333"/>
          <w:sz w:val="22"/>
          <w:szCs w:val="22"/>
        </w:rPr>
        <w:t xml:space="preserve">Aggregate statistics on AI interactions during the observation period, including volume, routing distribution, model utilization, and any anomalies detected.</w:t>
      </w:r>
    </w:p>
    <w:p>
      <w:pPr>
        <w:pStyle w:val="ListParagraph"/>
        <w:numPr>
          <w:ilvl w:val="0"/>
          <w:numId w:val="5"/>
        </w:numPr>
        <w:spacing w:after="100"/>
      </w:pPr>
      <w:r>
        <w:rPr>
          <w:rFonts w:ascii="Arial" w:cs="Arial" w:eastAsia="Arial" w:hAnsi="Arial"/>
          <w:b/>
          <w:bCs/>
          <w:color w:val="333333"/>
          <w:sz w:val="22"/>
          <w:szCs w:val="22"/>
        </w:rPr>
        <w:t xml:space="preserve">Data Flow Verification: </w:t>
      </w:r>
      <w:r>
        <w:rPr>
          <w:rFonts w:ascii="Arial" w:cs="Arial" w:eastAsia="Arial" w:hAnsi="Arial"/>
          <w:color w:val="333333"/>
          <w:sz w:val="22"/>
          <w:szCs w:val="22"/>
        </w:rPr>
        <w:t xml:space="preserve">Evidence-based attestation of data residency compliance, including any boundary violations observed.</w:t>
      </w:r>
    </w:p>
    <w:p>
      <w:pPr>
        <w:pStyle w:val="ListParagraph"/>
        <w:numPr>
          <w:ilvl w:val="0"/>
          <w:numId w:val="5"/>
        </w:numPr>
        <w:spacing w:after="100"/>
      </w:pPr>
      <w:r>
        <w:rPr>
          <w:rFonts w:ascii="Arial" w:cs="Arial" w:eastAsia="Arial" w:hAnsi="Arial"/>
          <w:b/>
          <w:bCs/>
          <w:color w:val="333333"/>
          <w:sz w:val="22"/>
          <w:szCs w:val="22"/>
        </w:rPr>
        <w:t xml:space="preserve">Findings and Observations: </w:t>
      </w:r>
      <w:r>
        <w:rPr>
          <w:rFonts w:ascii="Arial" w:cs="Arial" w:eastAsia="Arial" w:hAnsi="Arial"/>
          <w:color w:val="333333"/>
          <w:sz w:val="22"/>
          <w:szCs w:val="22"/>
        </w:rPr>
        <w:t xml:space="preserve">Detailed findings categorized by severity (Critical, High, Medium, Low, Informational) with remediation guidance.</w:t>
      </w:r>
    </w:p>
    <w:p>
      <w:pPr>
        <w:pStyle w:val="ListParagraph"/>
        <w:numPr>
          <w:ilvl w:val="0"/>
          <w:numId w:val="5"/>
        </w:numPr>
        <w:spacing w:after="100"/>
      </w:pPr>
      <w:r>
        <w:rPr>
          <w:rFonts w:ascii="Arial" w:cs="Arial" w:eastAsia="Arial" w:hAnsi="Arial"/>
          <w:b/>
          <w:bCs/>
          <w:color w:val="333333"/>
          <w:sz w:val="22"/>
          <w:szCs w:val="22"/>
        </w:rPr>
        <w:t xml:space="preserve">Assessor Opinion: </w:t>
      </w:r>
      <w:r>
        <w:rPr>
          <w:rFonts w:ascii="Arial" w:cs="Arial" w:eastAsia="Arial" w:hAnsi="Arial"/>
          <w:color w:val="333333"/>
          <w:sz w:val="22"/>
          <w:szCs w:val="22"/>
        </w:rPr>
        <w:t xml:space="preserve">An overall assessment of the vendor’s architectural truthfulness, expressed as Verified (architecture matches claims), Verified with Exceptions (architecture substantially matches claims with noted discrepancies), or Not Verified (material discrepancies between claimed and observed architecture).</w:t>
      </w:r>
    </w:p>
    <w:p>
      <w:pPr>
        <w:pStyle w:val="Heading3"/>
      </w:pPr>
      <w:r>
        <w:t xml:space="preserve">4.5.2 ATV-CR-02: Continuous Monitoring Reports</w:t>
      </w:r>
    </w:p>
    <w:p>
      <w:pPr>
        <w:spacing w:after="200"/>
      </w:pPr>
      <w:r>
        <w:rPr>
          <w:rFonts w:ascii="Arial" w:cs="Arial" w:eastAsia="Arial" w:hAnsi="Arial"/>
          <w:b w:val="false"/>
          <w:bCs w:val="false"/>
          <w:i w:val="false"/>
          <w:iCs w:val="false"/>
          <w:color w:val="333333"/>
          <w:sz w:val="22"/>
          <w:szCs w:val="22"/>
        </w:rPr>
        <w:t xml:space="preserve">For vendors operating under continuous monitoring arrangements, monthly summary reports shall be provided to customers. These reports shall include interaction volume and routing statistics, any architecture changes detected, data flow compliance status, and alerts on anomalous behavior. Reports shall be generated from the immutable audit trail and shall include cryptographic evidence of log integrity.</w:t>
      </w:r>
    </w:p>
    <w:p>
      <w:pPr>
        <w:pStyle w:val="Heading3"/>
      </w:pPr>
      <w:r>
        <w:t xml:space="preserve">4.5.3 ATV-CR-03: Customer Interaction Portal</w:t>
      </w:r>
    </w:p>
    <w:p>
      <w:pPr>
        <w:spacing w:after="200"/>
      </w:pPr>
      <w:r>
        <w:rPr>
          <w:rFonts w:ascii="Arial" w:cs="Arial" w:eastAsia="Arial" w:hAnsi="Arial"/>
          <w:b w:val="false"/>
          <w:bCs w:val="false"/>
          <w:i w:val="false"/>
          <w:iCs w:val="false"/>
          <w:color w:val="333333"/>
          <w:sz w:val="22"/>
          <w:szCs w:val="22"/>
        </w:rPr>
        <w:t xml:space="preserve">Customers shall have access to a portal or reporting interface that provides real-time or near-real-time visibility into their AI interactions. At minimum, the portal shall display aggregate interaction statistics, the current AI-BOM for the services they consume, data residency confirmation for each interaction, and the most recent ATVF Attestation Report. The portal shall not expose proprietary vendor architecture details beyond what is necessary for the customer to verify compliance with their contractual and regulatory requirements.</w:t>
      </w:r>
    </w:p>
    <w:p>
      <w:r>
        <w:br w:type="page"/>
      </w:r>
    </w:p>
    <w:p>
      <w:pPr>
        <w:pStyle w:val="Heading1"/>
      </w:pPr>
      <w:r>
        <w:t xml:space="preserve">5. Assessment Methodology</w:t>
      </w:r>
    </w:p>
    <w:p>
      <w:pPr>
        <w:pStyle w:val="Heading2"/>
      </w:pPr>
      <w:r>
        <w:t xml:space="preserve">5.1 Assessment Types</w:t>
      </w:r>
    </w:p>
    <w:p>
      <w:pPr>
        <w:spacing w:after="200"/>
      </w:pPr>
      <w:r>
        <w:rPr>
          <w:rFonts w:ascii="Arial" w:cs="Arial" w:eastAsia="Arial" w:hAnsi="Arial"/>
          <w:b w:val="false"/>
          <w:bCs w:val="false"/>
          <w:i w:val="false"/>
          <w:iCs w:val="false"/>
          <w:color w:val="333333"/>
          <w:sz w:val="22"/>
          <w:szCs w:val="22"/>
        </w:rPr>
        <w:t xml:space="preserve">ATVF supports two assessment types, modeled on the SOC 2 Type I / Type II distinction: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Assessment</w:t>
            </w:r>
          </w:p>
        </w:tc>
        <w:tc>
          <w:tcPr>
            <w:tcW w:type="dxa" w:w="351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Scope</w:t>
            </w:r>
          </w:p>
        </w:tc>
        <w:tc>
          <w:tcPr>
            <w:tcW w:type="dxa" w:w="351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Evidence Basis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ATVF Type I</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Point-in-time assessment of architecture disclosure accuracy and control design.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AI-BOM review, verification agent deployment (minimum 72-hour observation), documentation review.</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ATVF Type II</w:t>
            </w:r>
          </w:p>
        </w:tc>
        <w:tc>
          <w:tcPr>
            <w:tcW w:type="dxa" w:w="351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Observation-period assessment of architecture consistency and control operating effectiveness.</w:t>
            </w:r>
          </w:p>
        </w:tc>
        <w:tc>
          <w:tcPr>
            <w:tcW w:type="dxa" w:w="351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Minimum 90-day continuous monitoring, full interaction audit trail review, compute signature analysis, data flow verification.</w:t>
            </w:r>
          </w:p>
        </w:tc>
      </w:tr>
    </w:tbl>
    <w:p>
      <w:pPr>
        <w:spacing w:after="200"/>
      </w:pPr>
    </w:p>
    <w:p>
      <w:pPr>
        <w:pStyle w:val="Heading2"/>
      </w:pPr>
      <w:r>
        <w:t xml:space="preserve">5.2 Assessor Qualifications</w:t>
      </w:r>
    </w:p>
    <w:p>
      <w:pPr>
        <w:spacing w:after="200"/>
      </w:pPr>
      <w:r>
        <w:rPr>
          <w:rFonts w:ascii="Arial" w:cs="Arial" w:eastAsia="Arial" w:hAnsi="Arial"/>
          <w:b w:val="false"/>
          <w:bCs w:val="false"/>
          <w:i w:val="false"/>
          <w:iCs w:val="false"/>
          <w:color w:val="333333"/>
          <w:sz w:val="22"/>
          <w:szCs w:val="22"/>
        </w:rPr>
        <w:t xml:space="preserve">ATVF assessments shall be performed by qualified assessors with demonstrated competence in AI/ML systems architecture and inference infrastructure, systems observability and kernel-level instrumentation (eBPF, system call tracing), network traffic analysis and security monitoring, and existing compliance frameworks (NIST RMF, SOC 2, FedRAMP, CMMC). The framework anticipates the development of an ATVF Assessor certification program as the standard matures.</w:t>
      </w:r>
    </w:p>
    <w:p>
      <w:pPr>
        <w:pStyle w:val="Heading2"/>
      </w:pPr>
      <w:r>
        <w:t xml:space="preserve">5.3 Evidence Collection</w:t>
      </w:r>
    </w:p>
    <w:p>
      <w:pPr>
        <w:spacing w:after="200"/>
      </w:pPr>
      <w:r>
        <w:rPr>
          <w:rFonts w:ascii="Arial" w:cs="Arial" w:eastAsia="Arial" w:hAnsi="Arial"/>
          <w:b w:val="false"/>
          <w:bCs w:val="false"/>
          <w:i w:val="false"/>
          <w:iCs w:val="false"/>
          <w:color w:val="333333"/>
          <w:sz w:val="22"/>
          <w:szCs w:val="22"/>
        </w:rPr>
        <w:t xml:space="preserve">All evidence collected during an ATVF assessment shall be cryptographically timestamped and integrity-protected. Evidence categories include automated telemetry from the verification agent (network, compute, memory), interaction audit trail exports with integrity verification, AI-BOM documentation and change history, vendor interviews and architecture walk-throughs, and independent testing (e.g., assessor-initiated inference requests with known characteristics to validate routing and logging accuracy).</w:t>
      </w:r>
    </w:p>
    <w:p>
      <w:r>
        <w:br w:type="page"/>
      </w:r>
    </w:p>
    <w:p>
      <w:pPr>
        <w:pStyle w:val="Heading1"/>
      </w:pPr>
      <w:r>
        <w:t xml:space="preserve">6. Mapping to Existing Frameworks</w:t>
      </w:r>
    </w:p>
    <w:p>
      <w:pPr>
        <w:spacing w:after="200"/>
      </w:pPr>
      <w:r>
        <w:rPr>
          <w:rFonts w:ascii="Arial" w:cs="Arial" w:eastAsia="Arial" w:hAnsi="Arial"/>
          <w:b w:val="false"/>
          <w:bCs w:val="false"/>
          <w:i w:val="false"/>
          <w:iCs w:val="false"/>
          <w:color w:val="333333"/>
          <w:sz w:val="22"/>
          <w:szCs w:val="22"/>
        </w:rPr>
        <w:t xml:space="preserve">ATVF is designed to integrate with and extend existing compliance frameworks. The following mappings identify where ATVF controls complement or fill gaps in current standards.</w:t>
      </w:r>
    </w:p>
    <w:p>
      <w:pPr>
        <w:pStyle w:val="Heading2"/>
      </w:pPr>
      <w:r>
        <w:t xml:space="preserve">6.1 NIST AI RMF Mapping</w:t>
      </w:r>
    </w:p>
    <w:p>
      <w:pPr>
        <w:spacing w:after="200"/>
      </w:pPr>
      <w:r>
        <w:rPr>
          <w:rFonts w:ascii="Arial" w:cs="Arial" w:eastAsia="Arial" w:hAnsi="Arial"/>
          <w:b w:val="false"/>
          <w:bCs w:val="false"/>
          <w:i w:val="false"/>
          <w:iCs w:val="false"/>
          <w:color w:val="333333"/>
          <w:sz w:val="22"/>
          <w:szCs w:val="22"/>
        </w:rPr>
        <w:t xml:space="preserve">ATVF maps primarily to the Govern and Map functions of the NIST AI RMF, extending them with verification capabilities: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80"/>
        <w:gridCol w:w="248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ATVF Control</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AI RMF Function</w:t>
            </w:r>
          </w:p>
        </w:tc>
        <w:tc>
          <w:tcPr>
            <w:tcW w:type="dxa" w:w="24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AI RMF Category</w:t>
            </w:r>
          </w:p>
        </w:tc>
        <w:tc>
          <w:tcPr>
            <w:tcW w:type="dxa" w:w="24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Relationship</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ATV-AD-01</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MAP</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MAP 1.1, 1.5</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Extends with verifiable disclosure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ATV-IL-01</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w:t>
            </w:r>
          </w:p>
        </w:tc>
        <w:tc>
          <w:tcPr>
            <w:tcW w:type="dxa" w:w="2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 1.2, 1.7</w:t>
            </w:r>
          </w:p>
        </w:tc>
        <w:tc>
          <w:tcPr>
            <w:tcW w:type="dxa" w:w="2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Adds audit trail requirement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ATV-RV-01/02</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MEASURE</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MEASURE 2.6, 2.7</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Adds runtime evidence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ATV-DR-01/02</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 / MAP</w:t>
            </w:r>
          </w:p>
        </w:tc>
        <w:tc>
          <w:tcPr>
            <w:tcW w:type="dxa" w:w="2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 1.7, MAP 3.4</w:t>
            </w:r>
          </w:p>
        </w:tc>
        <w:tc>
          <w:tcPr>
            <w:tcW w:type="dxa" w:w="2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Adds data flow verification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ATV-CR-01</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MANAGE</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MANAGE 4.1, 4.2</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Adds customer evidence</w:t>
            </w:r>
          </w:p>
        </w:tc>
      </w:tr>
    </w:tbl>
    <w:p>
      <w:pPr>
        <w:spacing w:after="200"/>
      </w:pPr>
    </w:p>
    <w:p>
      <w:pPr>
        <w:pStyle w:val="Heading2"/>
      </w:pPr>
      <w:r>
        <w:t xml:space="preserve">6.2 NIST SP 800-53 / CMMC Mapping</w:t>
      </w:r>
    </w:p>
    <w:p>
      <w:pPr>
        <w:spacing w:after="200"/>
      </w:pPr>
      <w:r>
        <w:rPr>
          <w:rFonts w:ascii="Arial" w:cs="Arial" w:eastAsia="Arial" w:hAnsi="Arial"/>
          <w:b w:val="false"/>
          <w:bCs w:val="false"/>
          <w:i w:val="false"/>
          <w:iCs w:val="false"/>
          <w:color w:val="333333"/>
          <w:sz w:val="22"/>
          <w:szCs w:val="22"/>
        </w:rPr>
        <w:t xml:space="preserve">For organizations operating within the CMMC ecosystem, ATVF controls map to existing 800-53 control families while extending them for AI-specific verification: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ATVF Control</w:t>
            </w:r>
          </w:p>
        </w:tc>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800-53 Family</w:t>
            </w:r>
          </w:p>
        </w:tc>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Extension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ATV-AD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SA (Acquisition)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Extends SA-4, SA-9 with AI-specific supply chain disclosure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ATV-IL</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AU (Audit)</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Extends AU-2, AU-3, AU-9 with AI interaction-specific audit events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ATV-RV</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CA (Assessment)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Extends CA-2, CA-7 with runtime behavioral verification</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ATV-DR</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SC (System Comms)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Extends SC-7, SC-28 with inference-path data flow attestation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ATV-CR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CA / SA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Extends CA-2, SA-9 with standardized customer evidence reporting</w:t>
            </w:r>
          </w:p>
        </w:tc>
      </w:tr>
    </w:tbl>
    <w:p>
      <w:pPr>
        <w:spacing w:after="200"/>
      </w:pPr>
    </w:p>
    <w:p>
      <w:pPr>
        <w:pStyle w:val="Heading2"/>
      </w:pPr>
      <w:r>
        <w:t xml:space="preserve">6.3 FedRAMP and GCC Considerations</w:t>
      </w:r>
    </w:p>
    <w:p>
      <w:pPr>
        <w:spacing w:after="200"/>
      </w:pPr>
      <w:r>
        <w:rPr>
          <w:rFonts w:ascii="Arial" w:cs="Arial" w:eastAsia="Arial" w:hAnsi="Arial"/>
          <w:b w:val="false"/>
          <w:bCs w:val="false"/>
          <w:i w:val="false"/>
          <w:iCs w:val="false"/>
          <w:color w:val="333333"/>
          <w:sz w:val="22"/>
          <w:szCs w:val="22"/>
        </w:rPr>
        <w:t xml:space="preserve">ATVF is particularly relevant in FedRAMP and Government Community Cloud (GCC) environments where AI vendors must demonstrate that data processing occurs within authorized boundaries. ATV-DR controls provide the verification mechanism that current FedRAMP assessments lack for AI-specific data flows. A vendor could theoretically maintain FedRAMP authorization while routing inference requests to non-FedRAMP endpoints — ATVF’s runtime verification would detect this.</w:t>
      </w:r>
    </w:p>
    <w:p>
      <w:r>
        <w:br w:type="page"/>
      </w:r>
    </w:p>
    <w:p>
      <w:pPr>
        <w:pStyle w:val="Heading1"/>
      </w:pPr>
      <w:r>
        <w:t xml:space="preserve">7. Implementation Roadmap</w:t>
      </w:r>
    </w:p>
    <w:p>
      <w:pPr>
        <w:spacing w:after="200"/>
      </w:pPr>
      <w:r>
        <w:rPr>
          <w:rFonts w:ascii="Arial" w:cs="Arial" w:eastAsia="Arial" w:hAnsi="Arial"/>
          <w:b w:val="false"/>
          <w:bCs w:val="false"/>
          <w:i w:val="false"/>
          <w:iCs w:val="false"/>
          <w:color w:val="333333"/>
          <w:sz w:val="22"/>
          <w:szCs w:val="22"/>
        </w:rPr>
        <w:t xml:space="preserve">ATVF is designed for phased adoption. Organizations can begin with Architecture Disclosure controls and progressively implement more advanced verification capabilities.</w:t>
      </w:r>
    </w:p>
    <w:p>
      <w:pPr>
        <w:pStyle w:val="Heading3"/>
      </w:pPr>
      <w:r>
        <w:t xml:space="preserve">Phase 1: Disclosure (Months 1–3)</w:t>
      </w:r>
    </w:p>
    <w:p>
      <w:pPr>
        <w:pStyle w:val="ListParagraph"/>
        <w:numPr>
          <w:ilvl w:val="0"/>
          <w:numId w:val="6"/>
        </w:numPr>
        <w:spacing w:after="100"/>
      </w:pPr>
      <w:r>
        <w:rPr>
          <w:rFonts w:ascii="Arial" w:cs="Arial" w:eastAsia="Arial" w:hAnsi="Arial"/>
          <w:color w:val="333333"/>
          <w:sz w:val="22"/>
          <w:szCs w:val="22"/>
        </w:rPr>
        <w:t xml:space="preserve">Develop AI-BOM template and documentation standards.</w:t>
      </w:r>
    </w:p>
    <w:p>
      <w:pPr>
        <w:pStyle w:val="ListParagraph"/>
        <w:numPr>
          <w:ilvl w:val="0"/>
          <w:numId w:val="6"/>
        </w:numPr>
        <w:spacing w:after="100"/>
      </w:pPr>
      <w:r>
        <w:rPr>
          <w:rFonts w:ascii="Arial" w:cs="Arial" w:eastAsia="Arial" w:hAnsi="Arial"/>
          <w:color w:val="333333"/>
          <w:sz w:val="22"/>
          <w:szCs w:val="22"/>
        </w:rPr>
        <w:t xml:space="preserve">Establish Capability Claims Register for existing AI products.</w:t>
      </w:r>
    </w:p>
    <w:p>
      <w:pPr>
        <w:pStyle w:val="ListParagraph"/>
        <w:numPr>
          <w:ilvl w:val="0"/>
          <w:numId w:val="6"/>
        </w:numPr>
        <w:spacing w:after="100"/>
      </w:pPr>
      <w:r>
        <w:rPr>
          <w:rFonts w:ascii="Arial" w:cs="Arial" w:eastAsia="Arial" w:hAnsi="Arial"/>
          <w:color w:val="333333"/>
          <w:sz w:val="22"/>
          <w:szCs w:val="22"/>
        </w:rPr>
        <w:t xml:space="preserve">Implement interaction logging infrastructure with immutability controls.</w:t>
      </w:r>
    </w:p>
    <w:p>
      <w:pPr>
        <w:pStyle w:val="ListParagraph"/>
        <w:numPr>
          <w:ilvl w:val="0"/>
          <w:numId w:val="6"/>
        </w:numPr>
        <w:spacing w:after="100"/>
      </w:pPr>
      <w:r>
        <w:rPr>
          <w:rFonts w:ascii="Arial" w:cs="Arial" w:eastAsia="Arial" w:hAnsi="Arial"/>
          <w:color w:val="333333"/>
          <w:sz w:val="22"/>
          <w:szCs w:val="22"/>
        </w:rPr>
        <w:t xml:space="preserve">Define internal assessment criteria and assessor training.</w:t>
      </w:r>
    </w:p>
    <w:p>
      <w:pPr>
        <w:pStyle w:val="Heading3"/>
      </w:pPr>
      <w:r>
        <w:t xml:space="preserve">Phase 2: Instrumentation (Months 4–6)</w:t>
      </w:r>
    </w:p>
    <w:p>
      <w:pPr>
        <w:pStyle w:val="ListParagraph"/>
        <w:numPr>
          <w:ilvl w:val="0"/>
          <w:numId w:val="7"/>
        </w:numPr>
        <w:spacing w:after="100"/>
      </w:pPr>
      <w:r>
        <w:rPr>
          <w:rFonts w:ascii="Arial" w:cs="Arial" w:eastAsia="Arial" w:hAnsi="Arial"/>
          <w:color w:val="333333"/>
          <w:sz w:val="22"/>
          <w:szCs w:val="22"/>
        </w:rPr>
        <w:t xml:space="preserve">Deploy eBPF-based verification agent in staging/pre-production environments.</w:t>
      </w:r>
    </w:p>
    <w:p>
      <w:pPr>
        <w:pStyle w:val="ListParagraph"/>
        <w:numPr>
          <w:ilvl w:val="0"/>
          <w:numId w:val="7"/>
        </w:numPr>
        <w:spacing w:after="100"/>
      </w:pPr>
      <w:r>
        <w:rPr>
          <w:rFonts w:ascii="Arial" w:cs="Arial" w:eastAsia="Arial" w:hAnsi="Arial"/>
          <w:color w:val="333333"/>
          <w:sz w:val="22"/>
          <w:szCs w:val="22"/>
        </w:rPr>
        <w:t xml:space="preserve">Calibrate compute signature baselines for declared model architectures.</w:t>
      </w:r>
    </w:p>
    <w:p>
      <w:pPr>
        <w:pStyle w:val="ListParagraph"/>
        <w:numPr>
          <w:ilvl w:val="0"/>
          <w:numId w:val="7"/>
        </w:numPr>
        <w:spacing w:after="100"/>
      </w:pPr>
      <w:r>
        <w:rPr>
          <w:rFonts w:ascii="Arial" w:cs="Arial" w:eastAsia="Arial" w:hAnsi="Arial"/>
          <w:color w:val="333333"/>
          <w:sz w:val="22"/>
          <w:szCs w:val="22"/>
        </w:rPr>
        <w:t xml:space="preserve">Implement network egress monitoring and anomaly detection.</w:t>
      </w:r>
    </w:p>
    <w:p>
      <w:pPr>
        <w:pStyle w:val="ListParagraph"/>
        <w:numPr>
          <w:ilvl w:val="0"/>
          <w:numId w:val="7"/>
        </w:numPr>
        <w:spacing w:after="100"/>
      </w:pPr>
      <w:r>
        <w:rPr>
          <w:rFonts w:ascii="Arial" w:cs="Arial" w:eastAsia="Arial" w:hAnsi="Arial"/>
          <w:color w:val="333333"/>
          <w:sz w:val="22"/>
          <w:szCs w:val="22"/>
        </w:rPr>
        <w:t xml:space="preserve">Conduct first ATVF Type I pilot assessments.</w:t>
      </w:r>
    </w:p>
    <w:p>
      <w:pPr>
        <w:pStyle w:val="Heading3"/>
      </w:pPr>
      <w:r>
        <w:t xml:space="preserve">Phase 3: Verification (Months 7–12)</w:t>
      </w:r>
    </w:p>
    <w:p>
      <w:pPr>
        <w:pStyle w:val="ListParagraph"/>
        <w:numPr>
          <w:ilvl w:val="0"/>
          <w:numId w:val="8"/>
        </w:numPr>
        <w:spacing w:after="100"/>
      </w:pPr>
      <w:r>
        <w:rPr>
          <w:rFonts w:ascii="Arial" w:cs="Arial" w:eastAsia="Arial" w:hAnsi="Arial"/>
          <w:color w:val="333333"/>
          <w:sz w:val="22"/>
          <w:szCs w:val="22"/>
        </w:rPr>
        <w:t xml:space="preserve">Deploy verification agent in production environments.</w:t>
      </w:r>
    </w:p>
    <w:p>
      <w:pPr>
        <w:pStyle w:val="ListParagraph"/>
        <w:numPr>
          <w:ilvl w:val="0"/>
          <w:numId w:val="8"/>
        </w:numPr>
        <w:spacing w:after="100"/>
      </w:pPr>
      <w:r>
        <w:rPr>
          <w:rFonts w:ascii="Arial" w:cs="Arial" w:eastAsia="Arial" w:hAnsi="Arial"/>
          <w:color w:val="333333"/>
          <w:sz w:val="22"/>
          <w:szCs w:val="22"/>
        </w:rPr>
        <w:t xml:space="preserve">Implement continuous monitoring and automated reporting.</w:t>
      </w:r>
    </w:p>
    <w:p>
      <w:pPr>
        <w:pStyle w:val="ListParagraph"/>
        <w:numPr>
          <w:ilvl w:val="0"/>
          <w:numId w:val="8"/>
        </w:numPr>
        <w:spacing w:after="100"/>
      </w:pPr>
      <w:r>
        <w:rPr>
          <w:rFonts w:ascii="Arial" w:cs="Arial" w:eastAsia="Arial" w:hAnsi="Arial"/>
          <w:color w:val="333333"/>
          <w:sz w:val="22"/>
          <w:szCs w:val="22"/>
        </w:rPr>
        <w:t xml:space="preserve">Develop customer-facing reporting portal.</w:t>
      </w:r>
    </w:p>
    <w:p>
      <w:pPr>
        <w:pStyle w:val="ListParagraph"/>
        <w:numPr>
          <w:ilvl w:val="0"/>
          <w:numId w:val="8"/>
        </w:numPr>
        <w:spacing w:after="100"/>
      </w:pPr>
      <w:r>
        <w:rPr>
          <w:rFonts w:ascii="Arial" w:cs="Arial" w:eastAsia="Arial" w:hAnsi="Arial"/>
          <w:color w:val="333333"/>
          <w:sz w:val="22"/>
          <w:szCs w:val="22"/>
        </w:rPr>
        <w:t xml:space="preserve">Conduct first ATVF Type II assessments with full observation period.</w:t>
      </w:r>
    </w:p>
    <w:p>
      <w:pPr>
        <w:pStyle w:val="Heading3"/>
      </w:pPr>
      <w:r>
        <w:t xml:space="preserve">Phase 4: Ecosystem (Months 12+)</w:t>
      </w:r>
    </w:p>
    <w:p>
      <w:pPr>
        <w:pStyle w:val="ListParagraph"/>
        <w:numPr>
          <w:ilvl w:val="0"/>
          <w:numId w:val="9"/>
        </w:numPr>
        <w:spacing w:after="100"/>
      </w:pPr>
      <w:r>
        <w:rPr>
          <w:rFonts w:ascii="Arial" w:cs="Arial" w:eastAsia="Arial" w:hAnsi="Arial"/>
          <w:color w:val="333333"/>
          <w:sz w:val="22"/>
          <w:szCs w:val="22"/>
        </w:rPr>
        <w:t xml:space="preserve">Publish ATVF specification for public comment and industry review.</w:t>
      </w:r>
    </w:p>
    <w:p>
      <w:pPr>
        <w:pStyle w:val="ListParagraph"/>
        <w:numPr>
          <w:ilvl w:val="0"/>
          <w:numId w:val="9"/>
        </w:numPr>
        <w:spacing w:after="100"/>
      </w:pPr>
      <w:r>
        <w:rPr>
          <w:rFonts w:ascii="Arial" w:cs="Arial" w:eastAsia="Arial" w:hAnsi="Arial"/>
          <w:color w:val="333333"/>
          <w:sz w:val="22"/>
          <w:szCs w:val="22"/>
        </w:rPr>
        <w:t xml:space="preserve">Establish assessor certification program.</w:t>
      </w:r>
    </w:p>
    <w:p>
      <w:pPr>
        <w:pStyle w:val="ListParagraph"/>
        <w:numPr>
          <w:ilvl w:val="0"/>
          <w:numId w:val="9"/>
        </w:numPr>
        <w:spacing w:after="100"/>
      </w:pPr>
      <w:r>
        <w:rPr>
          <w:rFonts w:ascii="Arial" w:cs="Arial" w:eastAsia="Arial" w:hAnsi="Arial"/>
          <w:color w:val="333333"/>
          <w:sz w:val="22"/>
          <w:szCs w:val="22"/>
        </w:rPr>
        <w:t xml:space="preserve">Engage with NIST, FedRAMP PMO, and CMMC-AB for framework alignment.</w:t>
      </w:r>
    </w:p>
    <w:p>
      <w:pPr>
        <w:pStyle w:val="ListParagraph"/>
        <w:numPr>
          <w:ilvl w:val="0"/>
          <w:numId w:val="9"/>
        </w:numPr>
        <w:spacing w:after="100"/>
      </w:pPr>
      <w:r>
        <w:rPr>
          <w:rFonts w:ascii="Arial" w:cs="Arial" w:eastAsia="Arial" w:hAnsi="Arial"/>
          <w:color w:val="333333"/>
          <w:sz w:val="22"/>
          <w:szCs w:val="22"/>
        </w:rPr>
        <w:t xml:space="preserve">Develop open-source reference implementation of the verification agent.</w:t>
      </w:r>
    </w:p>
    <w:p>
      <w:r>
        <w:br w:type="page"/>
      </w:r>
    </w:p>
    <w:p>
      <w:pPr>
        <w:pStyle w:val="Heading1"/>
      </w:pPr>
      <w:r>
        <w:t xml:space="preserve">8. Open Questions and Future Work</w:t>
      </w:r>
    </w:p>
    <w:p>
      <w:pPr>
        <w:spacing w:after="200"/>
      </w:pPr>
      <w:r>
        <w:rPr>
          <w:rFonts w:ascii="Arial" w:cs="Arial" w:eastAsia="Arial" w:hAnsi="Arial"/>
          <w:b w:val="false"/>
          <w:bCs w:val="false"/>
          <w:i w:val="false"/>
          <w:iCs w:val="false"/>
          <w:color w:val="333333"/>
          <w:sz w:val="22"/>
          <w:szCs w:val="22"/>
        </w:rPr>
        <w:t xml:space="preserve">The following areas require further development and community input as the framework matures:</w:t>
      </w:r>
    </w:p>
    <w:p>
      <w:pPr>
        <w:pStyle w:val="ListParagraph"/>
        <w:numPr>
          <w:ilvl w:val="0"/>
          <w:numId w:val="2"/>
        </w:numPr>
        <w:spacing w:after="100"/>
      </w:pPr>
      <w:r>
        <w:rPr>
          <w:rFonts w:ascii="Arial" w:cs="Arial" w:eastAsia="Arial" w:hAnsi="Arial"/>
          <w:b/>
          <w:bCs/>
          <w:color w:val="333333"/>
          <w:sz w:val="22"/>
          <w:szCs w:val="22"/>
        </w:rPr>
        <w:t xml:space="preserve">Verification Agent Trust Model: </w:t>
      </w:r>
      <w:r>
        <w:rPr>
          <w:rFonts w:ascii="Arial" w:cs="Arial" w:eastAsia="Arial" w:hAnsi="Arial"/>
          <w:color w:val="333333"/>
          <w:sz w:val="22"/>
          <w:szCs w:val="22"/>
        </w:rPr>
        <w:t xml:space="preserve">How is the verification agent itself attested? The agent must be trusted to produce accurate results, which requires its own integrity chain. Confidential computing (TEE-based) deployments may provide a hardware root of trust.</w:t>
      </w:r>
    </w:p>
    <w:p>
      <w:pPr>
        <w:pStyle w:val="ListParagraph"/>
        <w:numPr>
          <w:ilvl w:val="0"/>
          <w:numId w:val="2"/>
        </w:numPr>
        <w:spacing w:after="100"/>
      </w:pPr>
      <w:r>
        <w:rPr>
          <w:rFonts w:ascii="Arial" w:cs="Arial" w:eastAsia="Arial" w:hAnsi="Arial"/>
          <w:b/>
          <w:bCs/>
          <w:color w:val="333333"/>
          <w:sz w:val="22"/>
          <w:szCs w:val="22"/>
        </w:rPr>
        <w:t xml:space="preserve">Voluntary vs. Mandated Adoption: </w:t>
      </w:r>
      <w:r>
        <w:rPr>
          <w:rFonts w:ascii="Arial" w:cs="Arial" w:eastAsia="Arial" w:hAnsi="Arial"/>
          <w:color w:val="333333"/>
          <w:sz w:val="22"/>
          <w:szCs w:val="22"/>
        </w:rPr>
        <w:t xml:space="preserve">ATVF is designed as a voluntary standard, but its value increases dramatically with mandatory adoption in procurement contexts. The framework should explore pathways for integration into federal acquisition regulations (FAR/DFARS) and enterprise procurement requirements.</w:t>
      </w:r>
    </w:p>
    <w:p>
      <w:pPr>
        <w:pStyle w:val="ListParagraph"/>
        <w:numPr>
          <w:ilvl w:val="0"/>
          <w:numId w:val="2"/>
        </w:numPr>
        <w:spacing w:after="100"/>
      </w:pPr>
      <w:r>
        <w:rPr>
          <w:rFonts w:ascii="Arial" w:cs="Arial" w:eastAsia="Arial" w:hAnsi="Arial"/>
          <w:b/>
          <w:bCs/>
          <w:color w:val="333333"/>
          <w:sz w:val="22"/>
          <w:szCs w:val="22"/>
        </w:rPr>
        <w:t xml:space="preserve">Multi-Model and Agentic Systems: </w:t>
      </w:r>
      <w:r>
        <w:rPr>
          <w:rFonts w:ascii="Arial" w:cs="Arial" w:eastAsia="Arial" w:hAnsi="Arial"/>
          <w:color w:val="333333"/>
          <w:sz w:val="22"/>
          <w:szCs w:val="22"/>
        </w:rPr>
        <w:t xml:space="preserve">Modern AI applications increasingly use multiple models in orchestration (e.g., routing agents, tool-calling chains). The AI-BOM and interaction logging specifications must evolve to capture these complex topologies.</w:t>
      </w:r>
    </w:p>
    <w:p>
      <w:pPr>
        <w:pStyle w:val="ListParagraph"/>
        <w:numPr>
          <w:ilvl w:val="0"/>
          <w:numId w:val="2"/>
        </w:numPr>
        <w:spacing w:after="100"/>
      </w:pPr>
      <w:r>
        <w:rPr>
          <w:rFonts w:ascii="Arial" w:cs="Arial" w:eastAsia="Arial" w:hAnsi="Arial"/>
          <w:b/>
          <w:bCs/>
          <w:color w:val="333333"/>
          <w:sz w:val="22"/>
          <w:szCs w:val="22"/>
        </w:rPr>
        <w:t xml:space="preserve">Fine-Tuning Verification: </w:t>
      </w:r>
      <w:r>
        <w:rPr>
          <w:rFonts w:ascii="Arial" w:cs="Arial" w:eastAsia="Arial" w:hAnsi="Arial"/>
          <w:color w:val="333333"/>
          <w:sz w:val="22"/>
          <w:szCs w:val="22"/>
        </w:rPr>
        <w:t xml:space="preserve">A vendor may claim to have fine-tuned a model, but verification of fine-tuning (versus prompt engineering) is technically challenging. This area requires research into methods for distinguishing fine-tuned model behavior from base model behavior.</w:t>
      </w:r>
    </w:p>
    <w:p>
      <w:pPr>
        <w:pStyle w:val="ListParagraph"/>
        <w:numPr>
          <w:ilvl w:val="0"/>
          <w:numId w:val="2"/>
        </w:numPr>
        <w:spacing w:after="100"/>
      </w:pPr>
      <w:r>
        <w:rPr>
          <w:rFonts w:ascii="Arial" w:cs="Arial" w:eastAsia="Arial" w:hAnsi="Arial"/>
          <w:b/>
          <w:bCs/>
          <w:color w:val="333333"/>
          <w:sz w:val="22"/>
          <w:szCs w:val="22"/>
        </w:rPr>
        <w:t xml:space="preserve">Adversarial Robustness: </w:t>
      </w:r>
      <w:r>
        <w:rPr>
          <w:rFonts w:ascii="Arial" w:cs="Arial" w:eastAsia="Arial" w:hAnsi="Arial"/>
          <w:color w:val="333333"/>
          <w:sz w:val="22"/>
          <w:szCs w:val="22"/>
        </w:rPr>
        <w:t xml:space="preserve">The anti-evasion controls in ATV-RV-04 represent initial measures. A dedicated research track is needed to stay ahead of evasion techniques as the framework gains adoption.</w:t>
      </w:r>
    </w:p>
    <w:p>
      <w:pPr>
        <w:pStyle w:val="ListParagraph"/>
        <w:numPr>
          <w:ilvl w:val="0"/>
          <w:numId w:val="2"/>
        </w:numPr>
        <w:spacing w:after="100"/>
      </w:pPr>
      <w:r>
        <w:rPr>
          <w:rFonts w:ascii="Arial" w:cs="Arial" w:eastAsia="Arial" w:hAnsi="Arial"/>
          <w:b/>
          <w:bCs/>
          <w:color w:val="333333"/>
          <w:sz w:val="22"/>
          <w:szCs w:val="22"/>
        </w:rPr>
        <w:t xml:space="preserve">International Alignment: </w:t>
      </w:r>
      <w:r>
        <w:rPr>
          <w:rFonts w:ascii="Arial" w:cs="Arial" w:eastAsia="Arial" w:hAnsi="Arial"/>
          <w:color w:val="333333"/>
          <w:sz w:val="22"/>
          <w:szCs w:val="22"/>
        </w:rPr>
        <w:t xml:space="preserve">ATVF should align with the EU AI Act transparency requirements, the OECD AI Principles, and ISO/IEC 42001 to support multinational adoption.</w:t>
      </w:r>
    </w:p>
    <w:p>
      <w:r>
        <w:br w:type="page"/>
      </w:r>
    </w:p>
    <w:p>
      <w:pPr>
        <w:pStyle w:val="Heading1"/>
      </w:pPr>
      <w:r>
        <w:t xml:space="preserve">Appendix A: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Term</w:t>
            </w:r>
          </w:p>
        </w:tc>
        <w:tc>
          <w:tcPr>
            <w:tcW w:type="dxa" w:w="6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Definition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AI-BOM</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 Bill of Materials. A machine-readable declaration of all AI models, APIs, and inference services used in an AI product.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Architectural Attestation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 verifiable, evidence-based assertion about the technical composition of an AI service.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Compute Signature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The characteristic pattern of GPU, CPU, and memory utilization produced by a specific type of AI inference operation.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Foundation Model</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 large-scale AI model trained on broad data and adaptable to many downstream tasks (e.g., GPT-4, Claude, Gemini).</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Inference Path</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The complete sequence of systems, services, and network hops that a request traverses from input to AI-generated output.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Verification Agent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 kernel-level instrumentation tool (typically eBPF-based) deployed to observe and record system behavior for ATVF assessment.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Wrapper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An application layer built atop third-party AI APIs that may add UI, prompt engineering, or light processing but does not perform its own model inference.</w:t>
            </w:r>
          </w:p>
        </w:tc>
      </w:tr>
    </w:tbl>
    <w:p>
      <w:pPr>
        <w:spacing w:after="200"/>
      </w:pPr>
    </w:p>
    <w:p>
      <w:pPr>
        <w:pStyle w:val="Heading1"/>
      </w:pPr>
      <w:r>
        <w:t xml:space="preserve">Appendix B: Control Summary Matrix</w:t>
      </w:r>
    </w:p>
    <w:p>
      <w:pPr>
        <w:spacing w:after="200"/>
      </w:pPr>
      <w:r>
        <w:rPr>
          <w:rFonts w:ascii="Arial" w:cs="Arial" w:eastAsia="Arial" w:hAnsi="Arial"/>
          <w:b w:val="false"/>
          <w:bCs w:val="false"/>
          <w:i w:val="false"/>
          <w:iCs w:val="false"/>
          <w:color w:val="333333"/>
          <w:sz w:val="22"/>
          <w:szCs w:val="22"/>
        </w:rPr>
        <w:t xml:space="preserve">The following matrix provides a complete enumeration of all ATVF controls with their assessment method and evidence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200"/>
        <w:gridCol w:w="2280"/>
        <w:gridCol w:w="2280"/>
      </w:tblGrid>
      <w:tr>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Control ID</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Control Name</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Assessment Method</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r>
              <w:rPr>
                <w:rFonts w:ascii="Arial" w:cs="Arial" w:eastAsia="Arial" w:hAnsi="Arial"/>
                <w:b/>
                <w:bCs/>
                <w:color w:val="FFFFFF"/>
                <w:sz w:val="20"/>
                <w:szCs w:val="20"/>
              </w:rPr>
              <w:t xml:space="preserve">Evidence Type</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ATV-AD-01</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 Bill of Materials</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Documentation Review</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AI-BOM Document</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ATV-AD-02</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Architecture Change Notification</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Process Review</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Change Records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ATV-AD-03</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Capability Claims Register</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Documentation Review</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Claims Register</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ATV-IL-01</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Interaction Audit Trail</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Technical Inspection</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Audit Logs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ATV-IL-02</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Log Immutability</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Technical Testing</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Integrity Proofs</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ATV-IL-03</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Log Retention and Availability</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Process Review</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Retention Policy + Samples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ATV-IL-04</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Privacy-Preserving Logging</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Technical Inspection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Hashing Implementation</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ATV-RV-01</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Network Egress Monitoring</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Agent Telemetry</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Network Capture Logs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ATV-RV-02</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Compute Signature Analysis</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Agent Telemetry</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Compute Profiles</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ATV-RV-03</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Verification Agent Deployment</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Technical Inspection</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Agent Attestation</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ATV-RV-04</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Anti-Evasion Controls</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Technical Testing</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Analysis Reports</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ATV-DR-01</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Data Flow Mapping</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Documentation + Verification</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Flow Map + Agent Data</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ATV-DR-02</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Boundary Attestation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Agent Telemetry</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Boundary Logs</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ATV-DR-03</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Third-Party Data Exposure</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Documentation Review</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 Disclosures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ATV-CR-01</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ATVF Attestation Report</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Report Review</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Completed Report</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ATV-CR-02</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Continuous Monitoring Reports</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Report Review</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Monthly Reports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ATV-CR-03</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Customer Interaction Portal</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Functional Testing</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Portal Access + Demo</w:t>
            </w:r>
          </w:p>
        </w:tc>
      </w:tr>
    </w:tbl>
    <w:p>
      <w:pPr>
        <w:spacing w:after="400"/>
      </w:pPr>
    </w:p>
    <w:p>
      <w:pPr>
        <w:pBdr>
          <w:top w:val="single" w:color="2E75B6" w:sz="4" w:space="8"/>
        </w:pBdr>
        <w:spacing w:before="400"/>
        <w:jc w:val="center"/>
      </w:pPr>
      <w:r>
        <w:rPr>
          <w:rFonts w:ascii="Arial" w:cs="Arial" w:eastAsia="Arial" w:hAnsi="Arial"/>
          <w:i/>
          <w:iCs/>
          <w:color w:val="666666"/>
          <w:sz w:val="20"/>
          <w:szCs w:val="20"/>
        </w:rPr>
        <w:t xml:space="preserve">END OF FRAMEWORK SPECIFICATION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rFonts w:ascii="Arial" w:cs="Arial" w:eastAsia="Arial" w:hAnsi="Arial"/>
        <w:color w:val="666666"/>
        <w:sz w:val="18"/>
        <w:szCs w:val="18"/>
      </w:rPr>
      <w:t xml:space="preserve">ATVF v0.1 — Draft</w:t>
    </w:r>
    <w:r>
      <w:rPr>
        <w:rFonts w:ascii="Arial" w:cs="Arial" w:eastAsia="Arial" w:hAnsi="Arial"/>
        <w:color w:val="666666"/>
        <w:sz w:val="18"/>
        <w:szCs w:val="18"/>
      </w:rPr>
      <w:t xml:space="preserve">	AI Transparency and Verification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2026-02-16T04:00:59.455Z</dcterms:created>
  <dcterms:modified xsi:type="dcterms:W3CDTF">2026-02-16T04:00:59.456Z</dcterms:modified>
</cp:coreProperties>
</file>

<file path=docProps/custom.xml><?xml version="1.0" encoding="utf-8"?>
<Properties xmlns="http://schemas.openxmlformats.org/officeDocument/2006/custom-properties" xmlns:vt="http://schemas.openxmlformats.org/officeDocument/2006/docPropsVTypes"/>
</file>