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pPr>
      <w:r>
        <w:rPr>
          <w:rFonts w:ascii="Arial" w:cs="Arial" w:eastAsia="Arial" w:hAnsi="Arial"/>
          <w:b/>
          <w:bCs/>
          <w:color w:val="CC2222"/>
          <w:spacing w:val="200"/>
          <w:sz w:val="20"/>
          <w:szCs w:val="20"/>
        </w:rPr>
        <w:t xml:space="preserve">WHITEPAPER</w:t>
      </w:r>
    </w:p>
    <w:p>
      <w:pPr>
        <w:pBdr>
          <w:bottom w:val="single" w:color="CC2222" w:sz="6" w:space="8"/>
        </w:pBdr>
        <w:spacing w:after="300"/>
      </w:pPr>
      <w:r>
        <w:rPr>
          <w:rFonts w:ascii="Arial" w:cs="Arial" w:eastAsia="Arial" w:hAnsi="Arial"/>
          <w:b/>
          <w:bCs/>
          <w:color w:val="1B2A4A"/>
          <w:sz w:val="52"/>
          <w:szCs w:val="52"/>
        </w:rPr>
        <w:t xml:space="preserve">Your AI Vendor Is Probably Lying to You</w:t>
      </w:r>
    </w:p>
    <w:p>
      <w:pPr>
        <w:spacing w:after="200"/>
      </w:pPr>
      <w:r>
        <w:rPr>
          <w:rFonts w:ascii="Arial" w:cs="Arial" w:eastAsia="Arial" w:hAnsi="Arial"/>
          <w:color w:val="2E75B6"/>
          <w:sz w:val="32"/>
          <w:szCs w:val="32"/>
        </w:rPr>
        <w:t xml:space="preserve">And Here’s How to Prove It</w:t>
      </w:r>
    </w:p>
    <w:p>
      <w:pPr>
        <w:spacing w:before="600" w:after="200"/>
      </w:pPr>
      <w:r>
        <w:rPr>
          <w:rFonts w:ascii="Georgia" w:cs="Georgia" w:eastAsia="Georgia" w:hAnsi="Georgia"/>
          <w:i/>
          <w:iCs/>
          <w:color w:val="666666"/>
          <w:sz w:val="22"/>
          <w:szCs w:val="22"/>
        </w:rPr>
        <w:t xml:space="preserve">The AI Transparency and Verification Framework (ATVF) provides the first independent, evidence-based method to validate AI vendor architectural claims. This paper explains the problem, presents real-world scenarios, and introduces a solution that works within existing compliance structures.</w:t>
      </w:r>
    </w:p>
    <w:p>
      <w:pPr>
        <w:spacing w:before="800"/>
      </w:pPr>
      <w:r>
        <w:rPr>
          <w:rFonts w:ascii="Arial" w:cs="Arial" w:eastAsia="Arial" w:hAnsi="Arial"/>
          <w:color w:val="666666"/>
          <w:sz w:val="18"/>
          <w:szCs w:val="18"/>
        </w:rPr>
        <w:t xml:space="preserve">February 2026  |  ATVF Working Group  |  v0.1</w:t>
      </w:r>
    </w:p>
    <w:p>
      <w:r>
        <w:br w:type="page"/>
      </w:r>
    </w:p>
    <w:p>
      <w:pPr>
        <w:sectPr>
          <w:pgSz w:w="12240" w:h="15840" w:orient="portrait"/>
          <w:pgMar w:top="1440" w:right="1440" w:bottom="1440" w:left="1440" w:header="708" w:footer="708" w:gutter="0"/>
          <w:pgNumType/>
          <w:docGrid w:linePitch="360"/>
        </w:sectPr>
      </w:pPr>
    </w:p>
    <w:p>
      <w:pPr>
        <w:pStyle w:val="Heading1"/>
        <w:spacing w:before="360" w:after="200"/>
      </w:pPr>
      <w:r>
        <w:t xml:space="preserve">Executive Summary</w:t>
      </w:r>
    </w:p>
    <w:p>
      <w:pPr>
        <w:spacing w:after="160"/>
      </w:pPr>
      <w:r>
        <w:rPr>
          <w:rFonts w:ascii="Georgia" w:cs="Georgia" w:eastAsia="Georgia" w:hAnsi="Georgia"/>
          <w:sz w:val="22"/>
          <w:szCs w:val="22"/>
        </w:rPr>
        <w:t xml:space="preserve">The enterprise AI market is built on unverifiable claims. Vendors routinely describe their products as “proprietary AI,” “custom-built intelligence,” or “advanced machine learning” when the underlying technology is a thin wrapper around a third-party API. For most customers, there is </w:t>
      </w:r>
      <w:r>
        <w:rPr>
          <w:rFonts w:ascii="Georgia" w:cs="Georgia" w:eastAsia="Georgia" w:hAnsi="Georgia"/>
          <w:b/>
          <w:bCs/>
          <w:sz w:val="22"/>
          <w:szCs w:val="22"/>
        </w:rPr>
        <w:t xml:space="preserve">no way to independently verify</w:t>
      </w:r>
      <w:r>
        <w:rPr>
          <w:rFonts w:ascii="Georgia" w:cs="Georgia" w:eastAsia="Georgia" w:hAnsi="Georgia"/>
          <w:sz w:val="22"/>
          <w:szCs w:val="22"/>
        </w:rPr>
        <w:t xml:space="preserve"> what an AI vendor is actually doing with their data, which models are processing it, or where that processing occurs.</w:t>
      </w:r>
    </w:p>
    <w:p>
      <w:pPr>
        <w:spacing w:after="160"/>
      </w:pPr>
      <w:r>
        <w:rPr>
          <w:rFonts w:ascii="Georgia" w:cs="Georgia" w:eastAsia="Georgia" w:hAnsi="Georgia"/>
          <w:sz w:val="22"/>
          <w:szCs w:val="22"/>
        </w:rPr>
        <w:t xml:space="preserve">This matters because AI vendor misrepresentation creates three categories of risk: compliance boundary violations, where customer data leaves authorized environments without disclosure; procurement fraud, where customers pay premium prices for repackaged commodity services; and supply chain opacity, where critical business processes depend on undisclosed third-party dependencies.</w:t>
      </w:r>
    </w:p>
    <w:p>
      <w:pPr>
        <w:spacing w:after="160"/>
      </w:pPr>
      <w:r>
        <w:rPr>
          <w:rFonts w:ascii="Georgia" w:cs="Georgia" w:eastAsia="Georgia" w:hAnsi="Georgia"/>
          <w:sz w:val="22"/>
          <w:szCs w:val="22"/>
        </w:rPr>
        <w:t xml:space="preserve">The </w:t>
      </w:r>
      <w:r>
        <w:rPr>
          <w:rFonts w:ascii="Georgia" w:cs="Georgia" w:eastAsia="Georgia" w:hAnsi="Georgia"/>
          <w:b/>
          <w:bCs/>
          <w:sz w:val="22"/>
          <w:szCs w:val="22"/>
        </w:rPr>
        <w:t xml:space="preserve">AI Transparency and Verification Framework (ATVF)</w:t>
      </w:r>
      <w:r>
        <w:rPr>
          <w:rFonts w:ascii="Georgia" w:cs="Georgia" w:eastAsia="Georgia" w:hAnsi="Georgia"/>
          <w:sz w:val="22"/>
          <w:szCs w:val="22"/>
        </w:rPr>
        <w:t xml:space="preserve"> addresses this gap with a five-control-family structure that combines vendor self-disclosure with independent runtime verification. Unlike existing compliance frameworks, ATVF doesn’t rely on vendor attestation alone—it deploys kernel-level observation technology (eBPF) to independently confirm that AI systems behave as declared.</w:t>
      </w:r>
    </w:p>
    <w:p>
      <w:pPr>
        <w:spacing w:after="160"/>
      </w:pPr>
      <w:r>
        <w:rPr>
          <w:rFonts w:ascii="Georgia" w:cs="Georgia" w:eastAsia="Georgia" w:hAnsi="Georgia"/>
          <w:sz w:val="22"/>
          <w:szCs w:val="22"/>
        </w:rPr>
        <w:t xml:space="preserve">This paper presents the problem through documented patterns of AI vendor misrepresentation, introduces the ATVF approach, and provides practical guidance for CISOs, procurement professionals, compliance officers, and AI vendors who want to differentiate on transparency.</w:t>
      </w:r>
    </w:p>
    <w:p>
      <w:pPr>
        <w:pStyle w:val="Heading1"/>
        <w:spacing w:before="360" w:after="200"/>
      </w:pPr>
      <w:r>
        <w:t xml:space="preserve">The Verification Gap in Enterprise AI</w:t>
      </w:r>
    </w:p>
    <w:p>
      <w:pPr>
        <w:spacing w:after="160"/>
      </w:pPr>
      <w:r>
        <w:rPr>
          <w:rFonts w:ascii="Georgia" w:cs="Georgia" w:eastAsia="Georgia" w:hAnsi="Georgia"/>
          <w:sz w:val="22"/>
          <w:szCs w:val="22"/>
        </w:rPr>
        <w:t xml:space="preserve">Every major compliance framework—SOC 2, FedRAMP, CMMC, ISO 27001, HIPAA—evaluates an organization’s security controls, access management, and data handling practices. None of them verify what an AI system actually does at runtime. This creates a verification gap that is unique to AI-powered services.</w:t>
      </w:r>
    </w:p>
    <w:p>
      <w:pPr>
        <w:spacing w:after="160"/>
      </w:pPr>
      <w:r>
        <w:rPr>
          <w:rFonts w:ascii="Georgia" w:cs="Georgia" w:eastAsia="Georgia" w:hAnsi="Georgia"/>
          <w:sz w:val="22"/>
          <w:szCs w:val="22"/>
        </w:rPr>
        <w:t xml:space="preserve">Traditional software has observable behavior: a database query either goes to the declared database or it doesn’t; a web service either calls the declared API or it doesn’t. AI services are different because the </w:t>
      </w:r>
      <w:r>
        <w:rPr>
          <w:rFonts w:ascii="Georgia" w:cs="Georgia" w:eastAsia="Georgia" w:hAnsi="Georgia"/>
          <w:i/>
          <w:iCs/>
          <w:sz w:val="22"/>
          <w:szCs w:val="22"/>
        </w:rPr>
        <w:t xml:space="preserve">inference pathway</w:t>
      </w:r>
      <w:r>
        <w:rPr>
          <w:rFonts w:ascii="Georgia" w:cs="Georgia" w:eastAsia="Georgia" w:hAnsi="Georgia"/>
          <w:sz w:val="22"/>
          <w:szCs w:val="22"/>
        </w:rPr>
        <w:t xml:space="preserve"> is opaque. A customer sending a document to an “AI-powered analysis” service has no visibility into whether that document is processed by a local model on the vendor’s GPU, sent to OpenAI’s commercial API, routed to a fine-tuned model on Anthropic’s infrastructure, or some combination. The interface is identical regardless of the underlying architecture.</w:t>
      </w:r>
    </w:p>
    <w:p>
      <w:pPr>
        <w:spacing w:after="160"/>
      </w:pPr>
      <w:r>
        <w:rPr>
          <w:rFonts w:ascii="Georgia" w:cs="Georgia" w:eastAsia="Georgia" w:hAnsi="Georgia"/>
          <w:sz w:val="22"/>
          <w:szCs w:val="22"/>
        </w:rPr>
        <w:t xml:space="preserve">This opacity is not inherent to AI technology—it is a market condition. AI inference produces observable signals: network connections to API endpoints, GPU utilization patterns, model weight file access, and process-level compute signatures. These signals are measurable. They are simply not being measured.</w:t>
      </w:r>
    </w:p>
    <w:p>
      <w:pPr>
        <w:pStyle w:val="Heading2"/>
        <w:spacing w:before="280" w:after="160"/>
      </w:pPr>
      <w:r>
        <w:t xml:space="preserve">Why Existing Compliance Fails for AI</w:t>
      </w:r>
    </w:p>
    <w:p>
      <w:pPr>
        <w:spacing w:after="160"/>
      </w:pPr>
      <w:r>
        <w:rPr>
          <w:rFonts w:ascii="Georgia" w:cs="Georgia" w:eastAsia="Georgia" w:hAnsi="Georgia"/>
          <w:sz w:val="22"/>
          <w:szCs w:val="22"/>
        </w:rPr>
        <w:t xml:space="preserve">Consider a vendor with FedRAMP Moderate authorization operating in a GCC environment. Their authorization boundary covers their infrastructure, their access controls, their encryption, and their incident response. But if their AI pipeline sends customer data to a commercial (non-GCC) API endpoint for inference, that data has left the authorization boundary—and no existing FedRAMP control detects this.</w:t>
      </w:r>
    </w:p>
    <w:p>
      <w:pPr>
        <w:spacing w:after="160"/>
      </w:pPr>
      <w:r>
        <w:rPr>
          <w:rFonts w:ascii="Georgia" w:cs="Georgia" w:eastAsia="Georgia" w:hAnsi="Georgia"/>
          <w:sz w:val="22"/>
          <w:szCs w:val="22"/>
        </w:rPr>
        <w:t xml:space="preserve">The same gap exists across every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rPr>
          <w:tblHeader/>
        </w:trP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Framework</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What It Verifies</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What It Misses</w:t>
            </w:r>
          </w:p>
        </w:tc>
      </w:tr>
      <w:tr>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SOC 2</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Security controls, access policies, availability</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Whether AI inference routes through undisclosed third parties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FedRAMP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Authorization boundary, encryption, monitoring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Whether AI API calls leave the authorized boundary</w:t>
            </w:r>
          </w:p>
        </w:tc>
      </w:tr>
      <w:tr>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CMMC</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CUI handling, access control, audit logging</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Whether AI processing exposes CUI to commercial services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HIPAA</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PHI safeguards, BAAs, access controls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Whether AI inference sends PHI to services without BAAs</w:t>
            </w:r>
          </w:p>
        </w:tc>
      </w:tr>
      <w:tr>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ISO 27001</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ISMS controls, risk management</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AI supply chain dependencies and data flows</w:t>
            </w:r>
          </w:p>
        </w:tc>
      </w:tr>
    </w:tbl>
    <w:p>
      <w:pPr>
        <w:spacing w:after="200"/>
      </w:pPr>
    </w:p>
    <w:p>
      <w:pPr>
        <w:pStyle w:val="Heading1"/>
        <w:spacing w:before="360" w:after="200"/>
      </w:pPr>
      <w:r>
        <w:t xml:space="preserve">Patterns of AI Vendor Misrepresentation</w:t>
      </w:r>
    </w:p>
    <w:p>
      <w:pPr>
        <w:spacing w:after="160"/>
      </w:pPr>
      <w:r>
        <w:rPr>
          <w:rFonts w:ascii="Georgia" w:cs="Georgia" w:eastAsia="Georgia" w:hAnsi="Georgia"/>
          <w:sz w:val="22"/>
          <w:szCs w:val="22"/>
        </w:rPr>
        <w:t xml:space="preserve">The following scenarios are composites drawn from documented patterns in the AI vendor market. The specific details are illustrative; the patterns are real and recurring.</w:t>
      </w:r>
    </w:p>
    <w:p>
      <w:pPr>
        <w:pStyle w:val="Heading2"/>
        <w:spacing w:before="280" w:after="160"/>
      </w:pPr>
      <w:r>
        <w:t xml:space="preserve">Scenario 1: The API Wrapper Sold as Proprietary AI</w:t>
      </w:r>
    </w:p>
    <w:p>
      <w:pPr>
        <w:spacing w:after="160"/>
      </w:pPr>
      <w:r>
        <w:rPr>
          <w:rFonts w:ascii="Georgia" w:cs="Georgia" w:eastAsia="Georgia" w:hAnsi="Georgia"/>
          <w:b/>
          <w:bCs/>
          <w:sz w:val="22"/>
          <w:szCs w:val="22"/>
        </w:rPr>
        <w:t xml:space="preserve">Setup: </w:t>
      </w:r>
      <w:r>
        <w:rPr>
          <w:rFonts w:ascii="Georgia" w:cs="Georgia" w:eastAsia="Georgia" w:hAnsi="Georgia"/>
          <w:sz w:val="22"/>
          <w:szCs w:val="22"/>
        </w:rPr>
        <w:t xml:space="preserve">A defense contractor wins a contract to provide “proprietary AI-powered document analysis” for a DoD agency. Marketing materials describe a “custom-built intelligence engine trained on military doctrine.” The vendor has FedRAMP authorization for their hosting infrastructure.</w:t>
      </w:r>
    </w:p>
    <w:p>
      <w:pPr>
        <w:spacing w:after="160"/>
      </w:pPr>
      <w:r>
        <w:rPr>
          <w:rFonts w:ascii="Georgia" w:cs="Georgia" w:eastAsia="Georgia" w:hAnsi="Georgia"/>
          <w:b/>
          <w:bCs/>
          <w:sz w:val="22"/>
          <w:szCs w:val="22"/>
        </w:rPr>
        <w:t xml:space="preserve">Reality: </w:t>
      </w:r>
      <w:r>
        <w:rPr>
          <w:rFonts w:ascii="Georgia" w:cs="Georgia" w:eastAsia="Georgia" w:hAnsi="Georgia"/>
          <w:sz w:val="22"/>
          <w:szCs w:val="22"/>
        </w:rPr>
        <w:t xml:space="preserve">Every document submitted for analysis is sent to OpenAI’s commercial Chat Completions API. The “proprietary engine” is a 200-line Python application that constructs prompts, calls the API, and reformats the response. The vendor’s GPU servers, prominently mentioned in their proposal, sit idle. Customer data—potentially including CUI—leaves the GCC boundary with every inference request.</w:t>
      </w:r>
    </w:p>
    <w:p>
      <w:pPr>
        <w:spacing w:after="160"/>
      </w:pPr>
      <w:r>
        <w:rPr>
          <w:rFonts w:ascii="Georgia" w:cs="Georgia" w:eastAsia="Georgia" w:hAnsi="Georgia"/>
          <w:b/>
          <w:bCs/>
          <w:sz w:val="22"/>
          <w:szCs w:val="22"/>
        </w:rPr>
        <w:t xml:space="preserve">Impact: </w:t>
      </w:r>
      <w:r>
        <w:rPr>
          <w:rFonts w:ascii="Georgia" w:cs="Georgia" w:eastAsia="Georgia" w:hAnsi="Georgia"/>
          <w:sz w:val="22"/>
          <w:szCs w:val="22"/>
        </w:rPr>
        <w:t xml:space="preserve">The contracting agency paid a premium for proprietary AI capabilities that do not exist. CUI was exposed to a commercial service outside the authorization boundary. The vendor’s FedRAMP authorization is meaningless for the AI inference pathway because the authorization boundary doesn’t extend to OpenAI’s commercial infrastructure.</w:t>
      </w:r>
    </w:p>
    <w:p>
      <w:pPr>
        <w:spacing w:after="160"/>
      </w:pPr>
      <w:r>
        <w:rPr>
          <w:rFonts w:ascii="Georgia" w:cs="Georgia" w:eastAsia="Georgia" w:hAnsi="Georgia"/>
          <w:b/>
          <w:bCs/>
          <w:sz w:val="22"/>
          <w:szCs w:val="22"/>
        </w:rPr>
        <w:t xml:space="preserve">ATVF Detection: </w:t>
      </w:r>
      <w:r>
        <w:rPr>
          <w:rFonts w:ascii="Georgia" w:cs="Georgia" w:eastAsia="Georgia" w:hAnsi="Georgia"/>
          <w:sz w:val="22"/>
          <w:szCs w:val="22"/>
        </w:rPr>
        <w:t xml:space="preserve">The network egress monitor would detect outbound connections to api.openai.com within minutes of deployment. Compute signature analysis would show zero GPU utilization on systems claiming local inference. The AI-BOM would have required upfront disclosure of the OpenAI dependency.</w:t>
      </w:r>
    </w:p>
    <w:p>
      <w:pPr>
        <w:pStyle w:val="Heading2"/>
        <w:spacing w:before="280" w:after="160"/>
      </w:pPr>
      <w:r>
        <w:t xml:space="preserve">Scenario 2: The Healthcare Platform with Undisclosed Dependencies</w:t>
      </w:r>
    </w:p>
    <w:p>
      <w:pPr>
        <w:spacing w:after="160"/>
      </w:pPr>
      <w:r>
        <w:rPr>
          <w:rFonts w:ascii="Georgia" w:cs="Georgia" w:eastAsia="Georgia" w:hAnsi="Georgia"/>
          <w:b/>
          <w:bCs/>
          <w:sz w:val="22"/>
          <w:szCs w:val="22"/>
        </w:rPr>
        <w:t xml:space="preserve">Setup: </w:t>
      </w:r>
      <w:r>
        <w:rPr>
          <w:rFonts w:ascii="Georgia" w:cs="Georgia" w:eastAsia="Georgia" w:hAnsi="Georgia"/>
          <w:sz w:val="22"/>
          <w:szCs w:val="22"/>
        </w:rPr>
        <w:t xml:space="preserve">A healthcare AI vendor sells a HIPAA-compliant “clinical decision support” platform to a hospital network. The vendor’s BAA covers their infrastructure. Their security questionnaire responses indicate all data processing occurs within their HIPAA-compliant environment.</w:t>
      </w:r>
    </w:p>
    <w:p>
      <w:pPr>
        <w:spacing w:after="160"/>
      </w:pPr>
      <w:r>
        <w:rPr>
          <w:rFonts w:ascii="Georgia" w:cs="Georgia" w:eastAsia="Georgia" w:hAnsi="Georgia"/>
          <w:b/>
          <w:bCs/>
          <w:sz w:val="22"/>
          <w:szCs w:val="22"/>
        </w:rPr>
        <w:t xml:space="preserve">Reality: </w:t>
      </w:r>
      <w:r>
        <w:rPr>
          <w:rFonts w:ascii="Georgia" w:cs="Georgia" w:eastAsia="Georgia" w:hAnsi="Georgia"/>
          <w:sz w:val="22"/>
          <w:szCs w:val="22"/>
        </w:rPr>
        <w:t xml:space="preserve">The AI pipeline sends de-identified (but potentially re-identifiable) patient notes to a commercial embedding API for vector generation, then queries a third-party vector database for similar cases. Neither the embedding service nor the vector database provider has a BAA in place. Neither appears in the vendor’s security documentation.</w:t>
      </w:r>
    </w:p>
    <w:p>
      <w:pPr>
        <w:spacing w:after="160"/>
      </w:pPr>
      <w:r>
        <w:rPr>
          <w:rFonts w:ascii="Georgia" w:cs="Georgia" w:eastAsia="Georgia" w:hAnsi="Georgia"/>
          <w:b/>
          <w:bCs/>
          <w:sz w:val="22"/>
          <w:szCs w:val="22"/>
        </w:rPr>
        <w:t xml:space="preserve">Impact: </w:t>
      </w:r>
      <w:r>
        <w:rPr>
          <w:rFonts w:ascii="Georgia" w:cs="Georgia" w:eastAsia="Georgia" w:hAnsi="Georgia"/>
          <w:sz w:val="22"/>
          <w:szCs w:val="22"/>
        </w:rPr>
        <w:t xml:space="preserve">PHI is exposed to two undisclosed third parties without BAA coverage. The hospital network’s compliance posture is compromised without their knowledge. If a breach occurs at either third party, the hospital has no contractual recourse and may not even be notified.</w:t>
      </w:r>
    </w:p>
    <w:p>
      <w:pPr>
        <w:spacing w:after="160"/>
      </w:pPr>
      <w:r>
        <w:rPr>
          <w:rFonts w:ascii="Georgia" w:cs="Georgia" w:eastAsia="Georgia" w:hAnsi="Georgia"/>
          <w:b/>
          <w:bCs/>
          <w:sz w:val="22"/>
          <w:szCs w:val="22"/>
        </w:rPr>
        <w:t xml:space="preserve">ATVF Detection: </w:t>
      </w:r>
      <w:r>
        <w:rPr>
          <w:rFonts w:ascii="Georgia" w:cs="Georgia" w:eastAsia="Georgia" w:hAnsi="Georgia"/>
          <w:sz w:val="22"/>
          <w:szCs w:val="22"/>
        </w:rPr>
        <w:t xml:space="preserve">The AI-BOM would require declaration of the embedding API and vector database as API dependencies with data flow documentation. The verification agent would independently confirm outbound connections to these services. The data residency controls would flag that patient data leaves the declared compliance boundary.</w:t>
      </w:r>
    </w:p>
    <w:p>
      <w:pPr>
        <w:pStyle w:val="Heading2"/>
        <w:spacing w:before="280" w:after="160"/>
      </w:pPr>
      <w:r>
        <w:t xml:space="preserve">Scenario 3: The “Fine-Tuned Model” That’s a System Prompt</w:t>
      </w:r>
    </w:p>
    <w:p>
      <w:pPr>
        <w:spacing w:after="160"/>
      </w:pPr>
      <w:r>
        <w:rPr>
          <w:rFonts w:ascii="Georgia" w:cs="Georgia" w:eastAsia="Georgia" w:hAnsi="Georgia"/>
          <w:b/>
          <w:bCs/>
          <w:sz w:val="22"/>
          <w:szCs w:val="22"/>
        </w:rPr>
        <w:t xml:space="preserve">Setup: </w:t>
      </w:r>
      <w:r>
        <w:rPr>
          <w:rFonts w:ascii="Georgia" w:cs="Georgia" w:eastAsia="Georgia" w:hAnsi="Georgia"/>
          <w:sz w:val="22"/>
          <w:szCs w:val="22"/>
        </w:rPr>
        <w:t xml:space="preserve">An enterprise vendor tells customers they have “fine-tuned a custom model on 10 years of industry data.” Customers pay a premium tier for this “specialized” AI. The vendor’s sales materials show a training pipeline diagram.</w:t>
      </w:r>
    </w:p>
    <w:p>
      <w:pPr>
        <w:spacing w:after="160"/>
      </w:pPr>
      <w:r>
        <w:rPr>
          <w:rFonts w:ascii="Georgia" w:cs="Georgia" w:eastAsia="Georgia" w:hAnsi="Georgia"/>
          <w:b/>
          <w:bCs/>
          <w:sz w:val="22"/>
          <w:szCs w:val="22"/>
        </w:rPr>
        <w:t xml:space="preserve">Reality: </w:t>
      </w:r>
      <w:r>
        <w:rPr>
          <w:rFonts w:ascii="Georgia" w:cs="Georgia" w:eastAsia="Georgia" w:hAnsi="Georgia"/>
          <w:sz w:val="22"/>
          <w:szCs w:val="22"/>
        </w:rPr>
        <w:t xml:space="preserve">The implementation is a system prompt prepended to calls to a commercial LLM API. The “10 years of industry data” is a 3-page document pasted into the prompt context. No fine-tuning was performed. No training pipeline exists. When the LLM provider updates their model, the vendor’s “fine-tuned model” changes behavior overnight.</w:t>
      </w:r>
    </w:p>
    <w:p>
      <w:pPr>
        <w:spacing w:after="160"/>
      </w:pPr>
      <w:r>
        <w:rPr>
          <w:rFonts w:ascii="Georgia" w:cs="Georgia" w:eastAsia="Georgia" w:hAnsi="Georgia"/>
          <w:b/>
          <w:bCs/>
          <w:sz w:val="22"/>
          <w:szCs w:val="22"/>
        </w:rPr>
        <w:t xml:space="preserve">Impact: </w:t>
      </w:r>
      <w:r>
        <w:rPr>
          <w:rFonts w:ascii="Georgia" w:cs="Georgia" w:eastAsia="Georgia" w:hAnsi="Georgia"/>
          <w:sz w:val="22"/>
          <w:szCs w:val="22"/>
        </w:rPr>
        <w:t xml:space="preserve">Customers are paying for a differentiated product that doesn’t exist. Their business processes depend on a specific model behavior that can change without notice. The vendor has no control over model updates, capabilities changes, or deprecation decisions made by the actual model provider.</w:t>
      </w:r>
    </w:p>
    <w:p>
      <w:pPr>
        <w:spacing w:after="160"/>
      </w:pPr>
      <w:r>
        <w:rPr>
          <w:rFonts w:ascii="Georgia" w:cs="Georgia" w:eastAsia="Georgia" w:hAnsi="Georgia"/>
          <w:b/>
          <w:bCs/>
          <w:sz w:val="22"/>
          <w:szCs w:val="22"/>
        </w:rPr>
        <w:t xml:space="preserve">ATVF Detection: </w:t>
      </w:r>
      <w:r>
        <w:rPr>
          <w:rFonts w:ascii="Georgia" w:cs="Georgia" w:eastAsia="Georgia" w:hAnsi="Georgia"/>
          <w:sz w:val="22"/>
          <w:szCs w:val="22"/>
        </w:rPr>
        <w:t xml:space="preserve">The Capability Claims Register would require the vendor to map their “fine-tuned custom model” claim to a technical component. The AI-BOM would show model type as “prompt-engineered” with the actual base model identified. The verification agent would confirm 100% remote inference with zero local model artifacts.</w:t>
      </w:r>
    </w:p>
    <w:p>
      <w:r>
        <w:br w:type="page"/>
      </w:r>
    </w:p>
    <w:p>
      <w:pPr>
        <w:pStyle w:val="Heading1"/>
        <w:spacing w:before="360" w:after="200"/>
      </w:pPr>
      <w:r>
        <w:t xml:space="preserve">The ATVF Approach</w:t>
      </w:r>
    </w:p>
    <w:p>
      <w:pPr>
        <w:spacing w:after="160"/>
      </w:pPr>
      <w:r>
        <w:rPr>
          <w:rFonts w:ascii="Georgia" w:cs="Georgia" w:eastAsia="Georgia" w:hAnsi="Georgia"/>
          <w:sz w:val="22"/>
          <w:szCs w:val="22"/>
        </w:rPr>
        <w:t xml:space="preserve">ATVF operates on a simple principle: trust, but verify. It combines structured self-disclosure with independent runtime observation to produce evidence-based attestation opinions. The framework consists of five control families.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340"/>
        <w:gridCol w:w="5460"/>
      </w:tblGrid>
      <w:tr>
        <w:trPr>
          <w:tblHeader/>
        </w:trP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Control</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Family</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r>
      <w:tr>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ATV-AD</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Architecture Disclosure</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Requires a machine-readable AI Bill of Materials (AI-BOM) documenting every model, API dependency, and pipeline stage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ATV-IL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Interaction Logging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Mandates tamper-evident, per-interaction audit trails with model identification and routing data</w:t>
            </w:r>
          </w:p>
        </w:tc>
      </w:tr>
      <w:tr>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ATV-RV</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Runtime Verification</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Deploys eBPF-based kernel-level observation to independently verify network egress, compute signatures, and process behavior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ATV-DR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Data Residency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Verifies that customer data stays within declared compliance boundaries during AI operations</w:t>
            </w:r>
          </w:p>
        </w:tc>
      </w:tr>
      <w:tr>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ATV-CR</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Customer Reporting</w:t>
            </w:r>
          </w:p>
        </w:tc>
        <w:tc>
          <w:tcPr>
            <w:tcW w:type="dxa" w:w="3120"/>
            <w:tcBorders>
              <w:top w:val="single" w:color="CCCCCC" w:sz="1"/>
              <w:left w:val="single" w:color="CCCCCC" w:sz="1"/>
              <w:bottom w:val="single" w:color="CCCCCC" w:sz="1"/>
              <w:right w:val="single" w:color="CCCCCC" w:sz="1"/>
            </w:tcBorders>
            <w:shd w:fill="F2F4F7" w:val="clear"/>
            <w:tcMar>
              <w:top w:type="dxa" w:w="80"/>
              <w:left w:type="dxa" w:w="120"/>
              <w:bottom w:type="dxa" w:w="80"/>
              <w:right w:type="dxa" w:w="120"/>
            </w:tcMar>
          </w:tcPr>
          <w:p>
            <w:r>
              <w:rPr>
                <w:rFonts w:ascii="Arial" w:cs="Arial" w:eastAsia="Arial" w:hAnsi="Arial"/>
                <w:sz w:val="20"/>
                <w:szCs w:val="20"/>
              </w:rPr>
              <w:t xml:space="preserve">Produces SOC 2–style attestation reports with Verified, Verified with Exceptions, or Not Verified opinions</w:t>
            </w:r>
          </w:p>
        </w:tc>
      </w:tr>
    </w:tbl>
    <w:p>
      <w:pPr>
        <w:spacing w:after="200"/>
      </w:pPr>
    </w:p>
    <w:p>
      <w:pPr>
        <w:pStyle w:val="Heading2"/>
        <w:spacing w:before="280" w:after="160"/>
      </w:pPr>
      <w:r>
        <w:t xml:space="preserve">Why eBPF Changes the Equation</w:t>
      </w:r>
    </w:p>
    <w:p>
      <w:pPr>
        <w:spacing w:after="160"/>
      </w:pPr>
      <w:r>
        <w:rPr>
          <w:rFonts w:ascii="Georgia" w:cs="Georgia" w:eastAsia="Georgia" w:hAnsi="Georgia"/>
          <w:sz w:val="22"/>
          <w:szCs w:val="22"/>
        </w:rPr>
        <w:t xml:space="preserve">The core technical innovation in ATVF is the use of eBPF (extended Berkeley Packet Filter) for runtime verification. eBPF programs run in kernel space, which means they observe system behavior at a level that the vendor’s application cannot circumvent, intercept, or modify. When the verification agent monitors network egress, it sees every TCP connection—including those made by child processes, sidecar containers, or background jobs. When it profiles compute behavior, it reads GPU utilization directly from the hardware driver interface.</w:t>
      </w:r>
    </w:p>
    <w:p>
      <w:pPr>
        <w:spacing w:after="160"/>
      </w:pPr>
      <w:r>
        <w:rPr>
          <w:rFonts w:ascii="Georgia" w:cs="Georgia" w:eastAsia="Georgia" w:hAnsi="Georgia"/>
          <w:sz w:val="22"/>
          <w:szCs w:val="22"/>
        </w:rPr>
        <w:t xml:space="preserve">This is fundamentally different from application-level monitoring, log analysis, or vendor-provided dashboards. The vendor’s application can lie about what it’s doing. The kernel cannot.</w:t>
      </w:r>
    </w:p>
    <w:p>
      <w:pPr>
        <w:pStyle w:val="Heading2"/>
        <w:spacing w:before="280" w:after="160"/>
      </w:pPr>
      <w:r>
        <w:t xml:space="preserve">Assessment Types</w:t>
      </w:r>
    </w:p>
    <w:p>
      <w:pPr>
        <w:spacing w:after="160"/>
      </w:pPr>
      <w:r>
        <w:rPr>
          <w:rFonts w:ascii="Georgia" w:cs="Georgia" w:eastAsia="Georgia" w:hAnsi="Georgia"/>
          <w:b/>
          <w:bCs/>
          <w:sz w:val="22"/>
          <w:szCs w:val="22"/>
        </w:rPr>
        <w:t xml:space="preserve">Type I (Point-in-Time): </w:t>
      </w:r>
      <w:r>
        <w:rPr>
          <w:rFonts w:ascii="Georgia" w:cs="Georgia" w:eastAsia="Georgia" w:hAnsi="Georgia"/>
          <w:sz w:val="22"/>
          <w:szCs w:val="22"/>
        </w:rPr>
        <w:t xml:space="preserve">A minimum 72-hour observation window with targeted testing. The assessor deploys the verification agent, generates controlled inference requests, and compares observed behavior against the AI-BOM. Suitable for initial vendor evaluation.</w:t>
      </w:r>
    </w:p>
    <w:p>
      <w:pPr>
        <w:spacing w:after="160"/>
      </w:pPr>
      <w:r>
        <w:rPr>
          <w:rFonts w:ascii="Georgia" w:cs="Georgia" w:eastAsia="Georgia" w:hAnsi="Georgia"/>
          <w:b/>
          <w:bCs/>
          <w:sz w:val="22"/>
          <w:szCs w:val="22"/>
        </w:rPr>
        <w:t xml:space="preserve">Type II (Continuous Observation): </w:t>
      </w:r>
      <w:r>
        <w:rPr>
          <w:rFonts w:ascii="Georgia" w:cs="Georgia" w:eastAsia="Georgia" w:hAnsi="Georgia"/>
          <w:sz w:val="22"/>
          <w:szCs w:val="22"/>
        </w:rPr>
        <w:t xml:space="preserve">A minimum 90-day continuous monitoring period with randomized intensive analysis windows. Provides ongoing assurance that the vendor’s architecture remains consistent with their AI-BOM. Required for high-sensitivity environments and ongoing contracts.</w:t>
      </w:r>
    </w:p>
    <w:p>
      <w:pPr>
        <w:pStyle w:val="Heading1"/>
        <w:spacing w:before="360" w:after="200"/>
      </w:pPr>
      <w:r>
        <w:t xml:space="preserve">Who Needs ATVF and Why</w:t>
      </w:r>
    </w:p>
    <w:p>
      <w:pPr>
        <w:pStyle w:val="Heading2"/>
        <w:spacing w:before="280" w:after="160"/>
      </w:pPr>
      <w:r>
        <w:t xml:space="preserve">CISOs and Security Leaders</w:t>
      </w:r>
    </w:p>
    <w:p>
      <w:pPr>
        <w:spacing w:after="160"/>
      </w:pPr>
      <w:r>
        <w:rPr>
          <w:rFonts w:ascii="Georgia" w:cs="Georgia" w:eastAsia="Georgia" w:hAnsi="Georgia"/>
          <w:sz w:val="22"/>
          <w:szCs w:val="22"/>
        </w:rPr>
        <w:t xml:space="preserve">You’ve assessed the vendor’s SOC 2. You’ve reviewed their penetration test results. You’ve checked their FedRAMP authorization. None of these tell you whether their AI actually runs where they claim, or whether your data is being sent to third-party APIs you never approved. ATVF gives you kernel-level proof that the vendor’s architecture matches their claims.</w:t>
      </w:r>
    </w:p>
    <w:p>
      <w:pPr>
        <w:pStyle w:val="Heading2"/>
        <w:spacing w:before="280" w:after="160"/>
      </w:pPr>
      <w:r>
        <w:t xml:space="preserve">Procurement and Acquisition Professionals</w:t>
      </w:r>
    </w:p>
    <w:p>
      <w:pPr>
        <w:spacing w:after="160"/>
      </w:pPr>
      <w:r>
        <w:rPr>
          <w:rFonts w:ascii="Georgia" w:cs="Georgia" w:eastAsia="Georgia" w:hAnsi="Georgia"/>
          <w:sz w:val="22"/>
          <w:szCs w:val="22"/>
        </w:rPr>
        <w:t xml:space="preserve">Every AI vendor claims proprietary technology, advanced capabilities, and industry-leading performance. You don’t have the technical depth to validate these claims during evaluation, and vendors know it. ATVF provides a structured questionnaire, evaluation scorecard, and red-flag guide that surface architectural truth before contract signature—not after.</w:t>
      </w:r>
    </w:p>
    <w:p>
      <w:pPr>
        <w:pStyle w:val="Heading2"/>
        <w:spacing w:before="280" w:after="160"/>
      </w:pPr>
      <w:r>
        <w:t xml:space="preserve">Compliance Officers</w:t>
      </w:r>
    </w:p>
    <w:p>
      <w:pPr>
        <w:spacing w:after="160"/>
      </w:pPr>
      <w:r>
        <w:rPr>
          <w:rFonts w:ascii="Georgia" w:cs="Georgia" w:eastAsia="Georgia" w:hAnsi="Georgia"/>
          <w:sz w:val="22"/>
          <w:szCs w:val="22"/>
        </w:rPr>
        <w:t xml:space="preserve">Your authorization boundaries, your CMMC assessment, your HIPAA compliance—all assume you know where data goes. AI services introduce invisible third-party dependencies that your existing compliance tools don’t detect. ATVF extends your existing compliance framework with AI-specific controls that map directly to NIST SP 800-53 families (SA, AU, CA, SC).</w:t>
      </w:r>
    </w:p>
    <w:p>
      <w:pPr>
        <w:pStyle w:val="Heading2"/>
        <w:spacing w:before="280" w:after="160"/>
      </w:pPr>
      <w:r>
        <w:t xml:space="preserve">Honest AI Vendors</w:t>
      </w:r>
    </w:p>
    <w:p>
      <w:pPr>
        <w:spacing w:after="160"/>
      </w:pPr>
      <w:r>
        <w:rPr>
          <w:rFonts w:ascii="Georgia" w:cs="Georgia" w:eastAsia="Georgia" w:hAnsi="Georgia"/>
          <w:sz w:val="22"/>
          <w:szCs w:val="22"/>
        </w:rPr>
        <w:t xml:space="preserve">If you actually built your AI, actually run it on your infrastructure, and actually invested in the engineering, you’re losing to vendors who claim the same thing while wrapping a $20/month API subscription. ATVF is your competitive advantage. A Type II attestation proves your engineering investment is real, not just claimed.</w:t>
      </w:r>
    </w:p>
    <w:p>
      <w:pPr>
        <w:pStyle w:val="Heading1"/>
        <w:spacing w:before="360" w:after="200"/>
      </w:pPr>
      <w:r>
        <w:t xml:space="preserve">Getting Started</w:t>
      </w:r>
    </w:p>
    <w:p>
      <w:pPr>
        <w:spacing w:after="160"/>
      </w:pPr>
      <w:r>
        <w:rPr>
          <w:rFonts w:ascii="Georgia" w:cs="Georgia" w:eastAsia="Georgia" w:hAnsi="Georgia"/>
          <w:sz w:val="22"/>
          <w:szCs w:val="22"/>
        </w:rPr>
        <w:t xml:space="preserve">ATVF provides free, open-source tools for both sides of the vendor relationship:</w:t>
      </w:r>
    </w:p>
    <w:p>
      <w:pPr>
        <w:pStyle w:val="Heading2"/>
        <w:spacing w:before="280" w:after="160"/>
      </w:pPr>
      <w:r>
        <w:t xml:space="preserve">For Buyers (Procurement, CISOs, Compliance)</w:t>
      </w:r>
    </w:p>
    <w:p>
      <w:pPr>
        <w:spacing w:after="160"/>
      </w:pPr>
      <w:r>
        <w:rPr>
          <w:rFonts w:ascii="Georgia" w:cs="Georgia" w:eastAsia="Georgia" w:hAnsi="Georgia"/>
          <w:b/>
          <w:bCs/>
          <w:sz w:val="22"/>
          <w:szCs w:val="22"/>
        </w:rPr>
        <w:t xml:space="preserve">Procurement Toolkit: </w:t>
      </w:r>
      <w:r>
        <w:rPr>
          <w:rFonts w:ascii="Georgia" w:cs="Georgia" w:eastAsia="Georgia" w:hAnsi="Georgia"/>
          <w:sz w:val="22"/>
          <w:szCs w:val="22"/>
        </w:rPr>
        <w:t xml:space="preserve">Generates tailored RFP language, vendor questionnaires, red-flag guides, and evaluation scorecards based on your compliance frameworks and assurance requirements. The output is designed to be copied directly into your existing procurement templates.</w:t>
      </w:r>
    </w:p>
    <w:p>
      <w:pPr>
        <w:pStyle w:val="Heading2"/>
        <w:spacing w:before="280" w:after="160"/>
      </w:pPr>
      <w:r>
        <w:t xml:space="preserve">For Vendors (Engineering, Compliance, Sales)</w:t>
      </w:r>
    </w:p>
    <w:p>
      <w:pPr>
        <w:spacing w:after="160"/>
      </w:pPr>
      <w:r>
        <w:rPr>
          <w:rFonts w:ascii="Georgia" w:cs="Georgia" w:eastAsia="Georgia" w:hAnsi="Georgia"/>
          <w:b/>
          <w:bCs/>
          <w:sz w:val="22"/>
          <w:szCs w:val="22"/>
        </w:rPr>
        <w:t xml:space="preserve">Self-Assessment Tool: </w:t>
      </w:r>
      <w:r>
        <w:rPr>
          <w:rFonts w:ascii="Georgia" w:cs="Georgia" w:eastAsia="Georgia" w:hAnsi="Georgia"/>
          <w:sz w:val="22"/>
          <w:szCs w:val="22"/>
        </w:rPr>
        <w:t xml:space="preserve">A 15-minute walkthrough of the five control families that produces an immediate readiness score with specific gaps identified.</w:t>
      </w:r>
    </w:p>
    <w:p>
      <w:pPr>
        <w:spacing w:after="160"/>
      </w:pPr>
      <w:r>
        <w:rPr>
          <w:rFonts w:ascii="Georgia" w:cs="Georgia" w:eastAsia="Georgia" w:hAnsi="Georgia"/>
          <w:b/>
          <w:bCs/>
          <w:sz w:val="22"/>
          <w:szCs w:val="22"/>
        </w:rPr>
        <w:t xml:space="preserve">Collection Wizard: </w:t>
      </w:r>
      <w:r>
        <w:rPr>
          <w:rFonts w:ascii="Georgia" w:cs="Georgia" w:eastAsia="Georgia" w:hAnsi="Georgia"/>
          <w:sz w:val="22"/>
          <w:szCs w:val="22"/>
        </w:rPr>
        <w:t xml:space="preserve">Detects your environment, generates customized collection scripts, and guides you through gathering the data an assessor would need.</w:t>
      </w:r>
    </w:p>
    <w:p>
      <w:pPr>
        <w:spacing w:after="160"/>
      </w:pPr>
      <w:r>
        <w:rPr>
          <w:rFonts w:ascii="Georgia" w:cs="Georgia" w:eastAsia="Georgia" w:hAnsi="Georgia"/>
          <w:b/>
          <w:bCs/>
          <w:sz w:val="22"/>
          <w:szCs w:val="22"/>
        </w:rPr>
        <w:t xml:space="preserve">Package Builder: </w:t>
      </w:r>
      <w:r>
        <w:rPr>
          <w:rFonts w:ascii="Georgia" w:cs="Georgia" w:eastAsia="Georgia" w:hAnsi="Georgia"/>
          <w:sz w:val="22"/>
          <w:szCs w:val="22"/>
        </w:rPr>
        <w:t xml:space="preserve">Ingests raw collection data, auto-generates a draft AI-BOM, and cross-validates your disclosure against observed system behavior.</w:t>
      </w:r>
    </w:p>
    <w:p>
      <w:pPr>
        <w:spacing w:after="160"/>
      </w:pPr>
      <w:r>
        <w:rPr>
          <w:rFonts w:ascii="Georgia" w:cs="Georgia" w:eastAsia="Georgia" w:hAnsi="Georgia"/>
          <w:b/>
          <w:bCs/>
          <w:sz w:val="22"/>
          <w:szCs w:val="22"/>
        </w:rPr>
        <w:t xml:space="preserve">Validation Toolkit: </w:t>
      </w:r>
      <w:r>
        <w:rPr>
          <w:rFonts w:ascii="Georgia" w:cs="Georgia" w:eastAsia="Georgia" w:hAnsi="Georgia"/>
          <w:sz w:val="22"/>
          <w:szCs w:val="22"/>
        </w:rPr>
        <w:t xml:space="preserve">AI-BOM schema validator, network egress analyzer, audit log format checker, and compute signature reference profiles.</w:t>
      </w:r>
    </w:p>
    <w:p>
      <w:pPr>
        <w:pStyle w:val="Heading1"/>
        <w:spacing w:before="360" w:after="200"/>
      </w:pPr>
      <w:r>
        <w:t xml:space="preserve">Conclusion</w:t>
      </w:r>
    </w:p>
    <w:p>
      <w:pPr>
        <w:spacing w:after="160"/>
      </w:pPr>
      <w:r>
        <w:rPr>
          <w:rFonts w:ascii="Georgia" w:cs="Georgia" w:eastAsia="Georgia" w:hAnsi="Georgia"/>
          <w:sz w:val="22"/>
          <w:szCs w:val="22"/>
        </w:rPr>
        <w:t xml:space="preserve">The AI market’s trust problem is not a technology problem. The signals are there—network connections, GPU utilization, model file access, process behavior. They’re simply not being measured.</w:t>
      </w:r>
    </w:p>
    <w:p>
      <w:pPr>
        <w:spacing w:after="160"/>
      </w:pPr>
      <w:r>
        <w:rPr>
          <w:rFonts w:ascii="Georgia" w:cs="Georgia" w:eastAsia="Georgia" w:hAnsi="Georgia"/>
          <w:sz w:val="22"/>
          <w:szCs w:val="22"/>
        </w:rPr>
        <w:t xml:space="preserve">ATVF measures them.</w:t>
      </w:r>
    </w:p>
    <w:p>
      <w:pPr>
        <w:spacing w:after="160"/>
      </w:pPr>
      <w:r>
        <w:rPr>
          <w:rFonts w:ascii="Georgia" w:cs="Georgia" w:eastAsia="Georgia" w:hAnsi="Georgia"/>
          <w:sz w:val="22"/>
          <w:szCs w:val="22"/>
        </w:rPr>
        <w:t xml:space="preserve">Every compliance framework in existence checks the controls around AI systems. ATVF checks </w:t>
      </w:r>
      <w:r>
        <w:rPr>
          <w:rFonts w:ascii="Georgia" w:cs="Georgia" w:eastAsia="Georgia" w:hAnsi="Georgia"/>
          <w:i/>
          <w:iCs/>
          <w:sz w:val="22"/>
          <w:szCs w:val="22"/>
        </w:rPr>
        <w:t xml:space="preserve">the AI systems themselves</w:t>
      </w:r>
      <w:r>
        <w:rPr>
          <w:rFonts w:ascii="Georgia" w:cs="Georgia" w:eastAsia="Georgia" w:hAnsi="Georgia"/>
          <w:sz w:val="22"/>
          <w:szCs w:val="22"/>
        </w:rPr>
        <w:t xml:space="preserve">. It doesn’t replace SOC 2, FedRAMP, or CMMC—it fills the gap they all share. And it does it with kernel-level observation that the vendor’s application cannot circumvent.</w:t>
      </w:r>
    </w:p>
    <w:p>
      <w:pPr>
        <w:spacing w:after="160"/>
      </w:pPr>
      <w:r>
        <w:rPr>
          <w:rFonts w:ascii="Georgia" w:cs="Georgia" w:eastAsia="Georgia" w:hAnsi="Georgia"/>
          <w:sz w:val="22"/>
          <w:szCs w:val="22"/>
        </w:rPr>
        <w:t xml:space="preserve">The framework is open, the tools are free, and the first assessment can begin today. The only remaining question is whether buyers will start demanding proof—or continue accepting promises.</w:t>
      </w:r>
    </w:p>
    <w:p>
      <w:pPr>
        <w:pBdr>
          <w:top w:val="single" w:color="1B2A4A" w:sz="4" w:space="8"/>
        </w:pBdr>
        <w:spacing w:before="600"/>
      </w:pPr>
      <w:r>
        <w:rPr>
          <w:rFonts w:ascii="Georgia" w:cs="Georgia" w:eastAsia="Georgia" w:hAnsi="Georgia"/>
          <w:i/>
          <w:iCs/>
          <w:color w:val="666666"/>
          <w:sz w:val="20"/>
          <w:szCs w:val="20"/>
        </w:rPr>
        <w:t xml:space="preserve">The ATVF Framework Specification, companion documents, and all validation tools are available as open resources. For more information, contact the ATVF Working Group.</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6"/>
        <w:szCs w:val="16"/>
      </w:rPr>
      <w:t xml:space="preserve">AI Transparency and Verification Framework</w:t>
    </w:r>
    <w:ptab w:alignment="right" w:relativeTo="margin" w:leader="none"/>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2A4A" w:sz="4" w:space="4"/>
      </w:pBdr>
    </w:pPr>
    <w:r>
      <w:rPr>
        <w:rFonts w:ascii="Arial" w:cs="Arial" w:eastAsia="Arial" w:hAnsi="Arial"/>
        <w:color w:val="666666"/>
        <w:sz w:val="16"/>
        <w:szCs w:val="16"/>
      </w:rPr>
      <w:t xml:space="preserve">ATVF Whitepaper: Your AI Vendor Is Probably Lying to You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2026-02-16T05:27:38.436Z</dcterms:created>
  <dcterms:modified xsi:type="dcterms:W3CDTF">2026-02-16T05:27:38.436Z</dcterms:modified>
</cp:coreProperties>
</file>

<file path=docProps/custom.xml><?xml version="1.0" encoding="utf-8"?>
<Properties xmlns="http://schemas.openxmlformats.org/officeDocument/2006/custom-properties" xmlns:vt="http://schemas.openxmlformats.org/officeDocument/2006/docPropsVTypes"/>
</file>